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801A" w14:textId="6E63C44F" w:rsidR="002E6465" w:rsidRDefault="00AE7777" w:rsidP="00520669">
      <w:pPr>
        <w:pStyle w:val="Heading1"/>
        <w:pBdr>
          <w:bottom w:val="single" w:sz="24" w:space="0" w:color="1A7DD7" w:themeColor="accent1"/>
        </w:pBdr>
        <w:spacing w:before="0" w:after="0" w:line="240" w:lineRule="auto"/>
        <w:rPr>
          <w:sz w:val="40"/>
          <w:szCs w:val="24"/>
        </w:rPr>
      </w:pPr>
      <w:r w:rsidRPr="00520669">
        <w:rPr>
          <w:rStyle w:val="Hyperlink"/>
          <w:color w:val="auto"/>
          <w:sz w:val="40"/>
          <w:szCs w:val="24"/>
          <w:u w:val="none"/>
        </w:rPr>
        <w:t xml:space="preserve">RLS Journal Club, Episode 1: </w:t>
      </w:r>
      <w:hyperlink r:id="rId11" w:history="1">
        <w:r w:rsidR="00AA50AF" w:rsidRPr="009B3AB2">
          <w:rPr>
            <w:rStyle w:val="Hyperlink"/>
            <w:sz w:val="40"/>
            <w:szCs w:val="24"/>
          </w:rPr>
          <w:t>Implementation of Lung Cancer Screening In the V</w:t>
        </w:r>
        <w:r w:rsidR="00FA5B29" w:rsidRPr="009B3AB2">
          <w:rPr>
            <w:rStyle w:val="Hyperlink"/>
            <w:sz w:val="40"/>
            <w:szCs w:val="24"/>
          </w:rPr>
          <w:t>eterans Health Administration</w:t>
        </w:r>
      </w:hyperlink>
      <w:r w:rsidR="00AA50AF" w:rsidRPr="00F564FA">
        <w:rPr>
          <w:sz w:val="40"/>
          <w:szCs w:val="24"/>
        </w:rPr>
        <w:t xml:space="preserve"> by </w:t>
      </w:r>
      <w:r w:rsidR="009B3AB2">
        <w:rPr>
          <w:sz w:val="40"/>
          <w:szCs w:val="24"/>
        </w:rPr>
        <w:t xml:space="preserve">Linda </w:t>
      </w:r>
      <w:r w:rsidR="00AA50AF" w:rsidRPr="00F564FA">
        <w:rPr>
          <w:sz w:val="40"/>
          <w:szCs w:val="24"/>
        </w:rPr>
        <w:t>Kinsinger</w:t>
      </w:r>
      <w:r w:rsidR="009B3AB2">
        <w:rPr>
          <w:sz w:val="40"/>
          <w:szCs w:val="24"/>
        </w:rPr>
        <w:t>, MD MPH</w:t>
      </w:r>
      <w:r w:rsidR="00AA50AF" w:rsidRPr="00F564FA">
        <w:rPr>
          <w:sz w:val="40"/>
          <w:szCs w:val="24"/>
        </w:rPr>
        <w:t xml:space="preserve"> et al in Jama internal medicine</w:t>
      </w:r>
      <w:r w:rsidR="002E6465">
        <w:rPr>
          <w:sz w:val="40"/>
          <w:szCs w:val="24"/>
        </w:rPr>
        <w:t xml:space="preserve"> </w:t>
      </w:r>
    </w:p>
    <w:p w14:paraId="0344BBBF" w14:textId="77777777" w:rsidR="00520669" w:rsidRDefault="00520669" w:rsidP="00520669">
      <w:pPr>
        <w:spacing w:before="0" w:after="0"/>
      </w:pPr>
      <w:r>
        <w:rPr>
          <w:i/>
        </w:rPr>
        <w:t>“</w:t>
      </w:r>
      <w:r w:rsidRPr="00DE6B2B">
        <w:rPr>
          <w:i/>
        </w:rPr>
        <w:t>In RLS Journal Club we examine publications (peer-reviewed articles, opinion pieces, etc.) that discuss CTLS, either in general or focusing on a specific topic, and review the statements or conclusions that are made. It is our goal to highlight the facts of screening and provide support/evidence of benefits and risks of CT lung screening in current clinical practice.”</w:t>
      </w:r>
    </w:p>
    <w:p w14:paraId="08D0DB88" w14:textId="77777777" w:rsidR="007240CF" w:rsidRPr="00AA50AF" w:rsidRDefault="007240CF" w:rsidP="007240CF">
      <w:pPr>
        <w:spacing w:before="0" w:after="0"/>
      </w:pPr>
    </w:p>
    <w:p w14:paraId="746263FE" w14:textId="2A8BA971" w:rsidR="00EB3DC4" w:rsidRDefault="002C70F3" w:rsidP="00835DBC">
      <w:pPr>
        <w:pStyle w:val="ListParagraph"/>
        <w:numPr>
          <w:ilvl w:val="0"/>
          <w:numId w:val="42"/>
        </w:numPr>
      </w:pPr>
      <w:r>
        <w:t>“</w:t>
      </w:r>
      <w:r w:rsidR="00EB3DC4">
        <w:t>Based on LCSDP experience, only about 58% of candidates will agree to be screened. Patients’ reasons for declining screening were not collected but may have included concerns about the need for LCS, exposure to radiation, psychological distress, effort required for the screening examinations, and others</w:t>
      </w:r>
      <w:r w:rsidR="00E63CD0">
        <w:t>.”</w:t>
      </w:r>
    </w:p>
    <w:p w14:paraId="57CA70CC" w14:textId="0B3CA6DF" w:rsidR="008F0E97" w:rsidRDefault="00D91266" w:rsidP="004E19F6">
      <w:pPr>
        <w:pStyle w:val="ListParagraph"/>
        <w:numPr>
          <w:ilvl w:val="1"/>
          <w:numId w:val="42"/>
        </w:numPr>
        <w:spacing w:before="0" w:after="200" w:line="276" w:lineRule="auto"/>
      </w:pPr>
      <w:bookmarkStart w:id="0" w:name="_Hlk56621862"/>
      <w:r>
        <w:rPr>
          <w:noProof/>
        </w:rPr>
        <w:drawing>
          <wp:inline distT="0" distB="0" distL="0" distR="0" wp14:anchorId="30DA7482" wp14:editId="47B45B3E">
            <wp:extent cx="374650" cy="374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inline>
        </w:drawing>
      </w:r>
      <w:r w:rsidR="00EB3DC4">
        <w:t xml:space="preserve">The decision aid used to discuss benefits and harms of screening with participants </w:t>
      </w:r>
      <w:r w:rsidR="00E63CD0">
        <w:t xml:space="preserve">presented a </w:t>
      </w:r>
      <w:r w:rsidR="00EB3DC4">
        <w:t xml:space="preserve">36.5% </w:t>
      </w:r>
      <w:r w:rsidR="00E63CD0">
        <w:t xml:space="preserve">CTLS </w:t>
      </w:r>
      <w:r w:rsidR="00EB3DC4">
        <w:t>false positive rate</w:t>
      </w:r>
      <w:r w:rsidR="00E63CD0">
        <w:t xml:space="preserve"> </w:t>
      </w:r>
      <w:r w:rsidR="00520669">
        <w:t xml:space="preserve">(“365 out of </w:t>
      </w:r>
      <w:proofErr w:type="gramStart"/>
      <w:r w:rsidR="00520669">
        <w:t>1000  people</w:t>
      </w:r>
      <w:proofErr w:type="gramEnd"/>
      <w:r w:rsidR="00520669">
        <w:t xml:space="preserve"> screened experience a false positive result”). This may</w:t>
      </w:r>
      <w:r w:rsidR="00CF65F3">
        <w:t xml:space="preserve"> have </w:t>
      </w:r>
      <w:r w:rsidR="00E63CD0">
        <w:t xml:space="preserve">negatively impacted </w:t>
      </w:r>
      <w:r w:rsidR="00CF65F3">
        <w:t>the decisi</w:t>
      </w:r>
      <w:r w:rsidR="00E63CD0">
        <w:t xml:space="preserve">on to participate in screening. </w:t>
      </w:r>
      <w:r w:rsidR="00C05A6A">
        <w:t>In the National Lung Screening Trial (NLST) published in 2011 one year before the inception of this study the false positive rate was reported as 23.5%</w:t>
      </w:r>
      <w:r w:rsidR="00DA7ABE">
        <w:t>.  Using Lung-RADS and the IELCAP protocol false positive CTLS rates are closer to 10%.</w:t>
      </w:r>
      <w:r w:rsidR="00E63CD0">
        <w:t xml:space="preserve"> </w:t>
      </w:r>
    </w:p>
    <w:p w14:paraId="3A521177" w14:textId="77777777" w:rsidR="00E63CD0" w:rsidRDefault="00E63CD0" w:rsidP="00E63CD0">
      <w:pPr>
        <w:pStyle w:val="ListParagraph"/>
        <w:spacing w:before="0" w:after="200" w:line="276" w:lineRule="auto"/>
        <w:ind w:left="2160"/>
      </w:pPr>
    </w:p>
    <w:p w14:paraId="725A557A" w14:textId="4230EADF" w:rsidR="00E63CD0" w:rsidRDefault="00D91266" w:rsidP="004E19F6">
      <w:pPr>
        <w:pStyle w:val="ListParagraph"/>
        <w:numPr>
          <w:ilvl w:val="1"/>
          <w:numId w:val="42"/>
        </w:numPr>
        <w:spacing w:before="0" w:after="200" w:line="276" w:lineRule="auto"/>
      </w:pPr>
      <w:r>
        <w:rPr>
          <w:noProof/>
        </w:rPr>
        <w:drawing>
          <wp:inline distT="0" distB="0" distL="0" distR="0" wp14:anchorId="69AF3DA2" wp14:editId="02DC5AC7">
            <wp:extent cx="374650" cy="3746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inline>
        </w:drawing>
      </w:r>
      <w:r w:rsidR="00E63CD0">
        <w:t xml:space="preserve">The study </w:t>
      </w:r>
      <w:r w:rsidR="00C542AA">
        <w:t xml:space="preserve">authors </w:t>
      </w:r>
      <w:r w:rsidR="00E63CD0">
        <w:t xml:space="preserve">state they did not collect reasons why </w:t>
      </w:r>
      <w:r w:rsidR="001B4203">
        <w:t>screening was declined. C</w:t>
      </w:r>
      <w:r w:rsidR="00E63CD0">
        <w:t>onjecture about what may or may not have contributed to participants’ decision to decline screening should not be included in a scientific publication</w:t>
      </w:r>
      <w:r w:rsidR="00DA7ABE">
        <w:t>.</w:t>
      </w:r>
      <w:r w:rsidR="00E63CD0">
        <w:t xml:space="preserve"> </w:t>
      </w:r>
    </w:p>
    <w:bookmarkEnd w:id="0"/>
    <w:p w14:paraId="18E4B9EB" w14:textId="77777777" w:rsidR="00124440" w:rsidRDefault="00124440" w:rsidP="00124440">
      <w:pPr>
        <w:pStyle w:val="ListParagraph"/>
        <w:spacing w:before="0" w:after="200" w:line="276" w:lineRule="auto"/>
        <w:ind w:left="1440"/>
      </w:pPr>
    </w:p>
    <w:p w14:paraId="06CE42A5" w14:textId="43EEC069" w:rsidR="00F93FF3" w:rsidRDefault="00F93FF3" w:rsidP="003844D2">
      <w:pPr>
        <w:pStyle w:val="ListParagraph"/>
        <w:numPr>
          <w:ilvl w:val="0"/>
          <w:numId w:val="42"/>
        </w:numPr>
        <w:spacing w:before="0" w:after="200" w:line="276" w:lineRule="auto"/>
      </w:pPr>
      <w:r>
        <w:t>“The rate of positive findings after 1 round of screening in the LCSDP was more than twice that in the NLST (1257 [59.7%] vs 7191 of 26 309 [27.3%]). The reason for the overall high rate of initially positive examination results in the VHA sites is not certain but may be owing, in part, to the older age and heavier smoking history of veterans screened.”</w:t>
      </w:r>
    </w:p>
    <w:p w14:paraId="658487C0" w14:textId="2C040399" w:rsidR="00D43595" w:rsidRDefault="00D91266" w:rsidP="00B54327">
      <w:pPr>
        <w:pStyle w:val="ListParagraph"/>
        <w:numPr>
          <w:ilvl w:val="1"/>
          <w:numId w:val="42"/>
        </w:numPr>
        <w:spacing w:before="0" w:after="200" w:line="276" w:lineRule="auto"/>
      </w:pPr>
      <w:r>
        <w:rPr>
          <w:noProof/>
        </w:rPr>
        <w:drawing>
          <wp:inline distT="0" distB="0" distL="0" distR="0" wp14:anchorId="57301BBD" wp14:editId="6BA4F474">
            <wp:extent cx="374650" cy="3746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inline>
        </w:drawing>
      </w:r>
      <w:r w:rsidR="00F93FF3">
        <w:t>The study design is not reflective of NLST protocol or of current clinical practice. In the VA study, a</w:t>
      </w:r>
      <w:r w:rsidR="00E63CD0">
        <w:t xml:space="preserve"> </w:t>
      </w:r>
      <w:r w:rsidR="00F93FF3">
        <w:t xml:space="preserve">nodule </w:t>
      </w:r>
      <w:r w:rsidR="00E63CD0">
        <w:t xml:space="preserve">of any size could be </w:t>
      </w:r>
      <w:r w:rsidR="00F93FF3">
        <w:t xml:space="preserve">considered a positive scan. In the NLST nodules </w:t>
      </w:r>
      <w:r w:rsidR="00E63CD0">
        <w:t>with a maximum diameter</w:t>
      </w:r>
      <w:r w:rsidR="001B4203">
        <w:t xml:space="preserve"> </w:t>
      </w:r>
      <w:r w:rsidR="001C2C91">
        <w:rPr>
          <w:rFonts w:ascii="Segoe UI" w:hAnsi="Segoe UI" w:cs="Segoe UI"/>
        </w:rPr>
        <w:t>≥</w:t>
      </w:r>
      <w:r w:rsidR="001B4203">
        <w:rPr>
          <w:rFonts w:ascii="Segoe UI" w:hAnsi="Segoe UI" w:cs="Segoe UI"/>
        </w:rPr>
        <w:t xml:space="preserve"> </w:t>
      </w:r>
      <w:r w:rsidR="00F93FF3">
        <w:t>4mm were considered positive</w:t>
      </w:r>
      <w:r w:rsidR="001B4203">
        <w:t>. I</w:t>
      </w:r>
      <w:r w:rsidR="00F93FF3">
        <w:t xml:space="preserve">n current clinical </w:t>
      </w:r>
      <w:r w:rsidR="00F93FF3">
        <w:lastRenderedPageBreak/>
        <w:t xml:space="preserve">practice </w:t>
      </w:r>
      <w:r w:rsidR="001B4203">
        <w:t>n</w:t>
      </w:r>
      <w:r w:rsidR="00F93FF3">
        <w:t xml:space="preserve">odules </w:t>
      </w:r>
      <w:r w:rsidR="001C2C91">
        <w:rPr>
          <w:rFonts w:ascii="Segoe UI" w:hAnsi="Segoe UI" w:cs="Segoe UI"/>
        </w:rPr>
        <w:t>≥</w:t>
      </w:r>
      <w:r w:rsidR="00F93FF3">
        <w:t>6mm are considered positive scans</w:t>
      </w:r>
      <w:r w:rsidR="001B4203">
        <w:t xml:space="preserve"> given the significant decrease in false positives without substantial increase in false negatives</w:t>
      </w:r>
      <w:r w:rsidR="00F93FF3">
        <w:t xml:space="preserve">. The high rate of positive findings </w:t>
      </w:r>
      <w:r w:rsidR="001B4203">
        <w:t xml:space="preserve">in this study is an expected result reported </w:t>
      </w:r>
      <w:r w:rsidR="00DA7ABE">
        <w:t>in the</w:t>
      </w:r>
      <w:r w:rsidR="001B4203">
        <w:t xml:space="preserve"> Mayo Clinic lung cancer screening experience in 2003</w:t>
      </w:r>
      <w:r w:rsidR="001338DB">
        <w:t xml:space="preserve"> nine years before the Under Secretary for Health Robert </w:t>
      </w:r>
      <w:proofErr w:type="spellStart"/>
      <w:r w:rsidR="001338DB">
        <w:t>Petzel</w:t>
      </w:r>
      <w:proofErr w:type="spellEnd"/>
      <w:r w:rsidR="001338DB">
        <w:t xml:space="preserve"> requested the initiation of the VHA’s LCSDP</w:t>
      </w:r>
      <w:r w:rsidR="001B4203">
        <w:t>.</w:t>
      </w:r>
      <w:r w:rsidR="001338DB" w:rsidRPr="001338DB">
        <w:t xml:space="preserve"> </w:t>
      </w:r>
      <w:r w:rsidR="001338DB">
        <w:t xml:space="preserve">While </w:t>
      </w:r>
      <w:r w:rsidR="00DA7ABE">
        <w:t xml:space="preserve">more advanced </w:t>
      </w:r>
      <w:r w:rsidR="001338DB">
        <w:t>age and greater pack years smoking history may marginally impact the rate of positives exams</w:t>
      </w:r>
      <w:r w:rsidR="00DA7ABE">
        <w:t>,</w:t>
      </w:r>
      <w:r w:rsidR="001338DB">
        <w:t xml:space="preserve"> the lack of a positive nodule size threshold </w:t>
      </w:r>
      <w:r w:rsidR="00DA7ABE">
        <w:t>will</w:t>
      </w:r>
      <w:r w:rsidR="001338DB">
        <w:t xml:space="preserve"> </w:t>
      </w:r>
      <w:r w:rsidR="00DA7ABE">
        <w:t xml:space="preserve">invariably </w:t>
      </w:r>
      <w:r w:rsidR="001338DB">
        <w:t xml:space="preserve">increase the number of positive exams by a factor of 3 or more. </w:t>
      </w:r>
      <w:r w:rsidR="00F93FF3">
        <w:t>In fact, the authors acknowledge</w:t>
      </w:r>
      <w:r w:rsidR="001B4203">
        <w:t>d</w:t>
      </w:r>
      <w:r w:rsidR="00F93FF3">
        <w:t xml:space="preserve"> </w:t>
      </w:r>
      <w:r w:rsidR="001338DB">
        <w:t>this fact stating,</w:t>
      </w:r>
      <w:r w:rsidR="00F93FF3">
        <w:t xml:space="preserve"> “Since only about one-third of nodules identified as needing to be tracked in the LCSDP were 6 mm or greater, the positive rate might decline from nearly 60% to about 20%.”</w:t>
      </w:r>
      <w:r w:rsidR="00D43595">
        <w:t xml:space="preserve"> </w:t>
      </w:r>
      <w:r w:rsidR="001B4203">
        <w:t xml:space="preserve">Why the authors </w:t>
      </w:r>
      <w:r>
        <w:t>used this</w:t>
      </w:r>
      <w:r w:rsidR="001338DB">
        <w:t xml:space="preserve"> outdated</w:t>
      </w:r>
      <w:r w:rsidR="00DA7ABE">
        <w:t xml:space="preserve"> </w:t>
      </w:r>
      <w:r w:rsidR="001B4203">
        <w:t xml:space="preserve">protocol is not explained. </w:t>
      </w:r>
      <w:r w:rsidR="00D43595">
        <w:t>In current clinical practice the positive rate on the baseline scan is 12-13%</w:t>
      </w:r>
      <w:r w:rsidR="001B4203">
        <w:t xml:space="preserve"> and around 5% at annual </w:t>
      </w:r>
      <w:r>
        <w:t>follow-up</w:t>
      </w:r>
      <w:r w:rsidR="001B4203">
        <w:t xml:space="preserve"> screening</w:t>
      </w:r>
      <w:r w:rsidR="001C2C91">
        <w:t>.</w:t>
      </w:r>
      <w:r w:rsidR="009512A4">
        <w:t xml:space="preserve"> </w:t>
      </w:r>
      <w:r w:rsidR="001B4203">
        <w:t xml:space="preserve">  </w:t>
      </w:r>
    </w:p>
    <w:p w14:paraId="0C9186F2" w14:textId="77777777" w:rsidR="001B4203" w:rsidRDefault="001B4203" w:rsidP="001B4203">
      <w:pPr>
        <w:pStyle w:val="ListParagraph"/>
        <w:spacing w:before="0" w:after="200" w:line="276" w:lineRule="auto"/>
        <w:ind w:left="2160"/>
      </w:pPr>
    </w:p>
    <w:p w14:paraId="395864AC" w14:textId="77777777" w:rsidR="00F93FF3" w:rsidRDefault="00F93FF3" w:rsidP="00F93FF3">
      <w:pPr>
        <w:pStyle w:val="ListParagraph"/>
        <w:spacing w:before="0" w:after="200" w:line="276" w:lineRule="auto"/>
      </w:pPr>
    </w:p>
    <w:p w14:paraId="13E107C9" w14:textId="793524B6" w:rsidR="00124440" w:rsidRDefault="00124440" w:rsidP="005500E6">
      <w:pPr>
        <w:pStyle w:val="ListParagraph"/>
        <w:numPr>
          <w:ilvl w:val="0"/>
          <w:numId w:val="42"/>
        </w:numPr>
        <w:spacing w:before="0" w:after="200" w:line="276" w:lineRule="auto"/>
      </w:pPr>
      <w:r>
        <w:t>“The rate of false-positive test results for lung cancer was 97.5% (1226 of 1257) during the 330-day follow-up period (Table 1).</w:t>
      </w:r>
    </w:p>
    <w:p w14:paraId="06F47F96" w14:textId="455D365A" w:rsidR="00124440" w:rsidRDefault="005F15A5" w:rsidP="00124440">
      <w:pPr>
        <w:pStyle w:val="ListParagraph"/>
        <w:numPr>
          <w:ilvl w:val="0"/>
          <w:numId w:val="43"/>
        </w:numPr>
        <w:spacing w:before="0" w:after="200" w:line="276" w:lineRule="auto"/>
      </w:pPr>
      <w:bookmarkStart w:id="1" w:name="_Hlk56948398"/>
      <w:r>
        <w:rPr>
          <w:noProof/>
        </w:rPr>
        <w:drawing>
          <wp:inline distT="0" distB="0" distL="0" distR="0" wp14:anchorId="5E1981BE" wp14:editId="13933D94">
            <wp:extent cx="374650" cy="3746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inline>
        </w:drawing>
      </w:r>
      <w:r w:rsidR="00124440">
        <w:t xml:space="preserve">97.5% is the false discovery rate not the false positive rate. JAMA has published </w:t>
      </w:r>
      <w:bookmarkEnd w:id="1"/>
      <w:r w:rsidR="00124440">
        <w:t>an errat</w:t>
      </w:r>
      <w:r w:rsidR="007925B1">
        <w:t>um</w:t>
      </w:r>
      <w:hyperlink r:id="rId13" w:history="1">
        <w:r w:rsidR="007925B1" w:rsidRPr="007925B1">
          <w:rPr>
            <w:rStyle w:val="Hyperlink"/>
            <w:vertAlign w:val="superscript"/>
          </w:rPr>
          <w:t>3</w:t>
        </w:r>
      </w:hyperlink>
      <w:r w:rsidR="00124440">
        <w:t xml:space="preserve"> – “</w:t>
      </w:r>
      <w:r w:rsidR="00124440" w:rsidRPr="00124440">
        <w:t>“The rate of false-positive test results for lung cancer was 97.5%” should more correctly read “The proportion of all positive tests that were falsely positive was 97.5%.”</w:t>
      </w:r>
      <w:r w:rsidR="009512A4">
        <w:t xml:space="preserve"> </w:t>
      </w:r>
    </w:p>
    <w:p w14:paraId="16134E58" w14:textId="5A22E315" w:rsidR="00124440" w:rsidRDefault="00124440" w:rsidP="00124440">
      <w:pPr>
        <w:pStyle w:val="ListParagraph"/>
        <w:spacing w:before="0" w:after="200" w:line="276" w:lineRule="auto"/>
        <w:ind w:left="1080"/>
      </w:pPr>
    </w:p>
    <w:p w14:paraId="7F9A2A27" w14:textId="23FAFAC1" w:rsidR="007B0165" w:rsidRDefault="007B0165" w:rsidP="0012482F">
      <w:pPr>
        <w:pStyle w:val="ListParagraph"/>
        <w:numPr>
          <w:ilvl w:val="0"/>
          <w:numId w:val="42"/>
        </w:numPr>
        <w:spacing w:before="0" w:after="200" w:line="276" w:lineRule="auto"/>
      </w:pPr>
      <w:r>
        <w:t>“Approximately 40% of those screened in the LCSDP had a variety of incidental findings. Many reported findings, such as emphysema and coronary calcifications, may not require follow-up.”</w:t>
      </w:r>
    </w:p>
    <w:p w14:paraId="6E7292B4" w14:textId="77777777" w:rsidR="005F15A5" w:rsidRDefault="005F15A5" w:rsidP="005F15A5">
      <w:pPr>
        <w:pStyle w:val="ListParagraph"/>
        <w:spacing w:before="0" w:after="200" w:line="276" w:lineRule="auto"/>
      </w:pPr>
    </w:p>
    <w:p w14:paraId="0CC0C3C4" w14:textId="213FA18B" w:rsidR="007B0165" w:rsidRDefault="005F15A5" w:rsidP="002E6465">
      <w:pPr>
        <w:pStyle w:val="ListParagraph"/>
        <w:numPr>
          <w:ilvl w:val="0"/>
          <w:numId w:val="43"/>
        </w:numPr>
        <w:spacing w:before="0" w:after="200" w:line="276" w:lineRule="auto"/>
      </w:pPr>
      <w:r>
        <w:rPr>
          <w:noProof/>
        </w:rPr>
        <w:drawing>
          <wp:inline distT="0" distB="0" distL="0" distR="0" wp14:anchorId="0C08D56B" wp14:editId="49F010AF">
            <wp:extent cx="374650" cy="3746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inline>
        </w:drawing>
      </w:r>
      <w:r w:rsidR="002E6465">
        <w:t>Clinically s</w:t>
      </w:r>
      <w:r w:rsidR="00373FF2">
        <w:t>ignificant incidental finding</w:t>
      </w:r>
      <w:r w:rsidR="002E6465">
        <w:t xml:space="preserve">s not suspicious for lung cancer </w:t>
      </w:r>
      <w:r w:rsidR="001338DB">
        <w:t xml:space="preserve">in the NLST </w:t>
      </w:r>
      <w:r w:rsidR="00DA7ABE">
        <w:t xml:space="preserve">occurred in </w:t>
      </w:r>
      <w:r w:rsidR="001338DB">
        <w:t xml:space="preserve">10.2% </w:t>
      </w:r>
      <w:r w:rsidR="00DA7ABE">
        <w:t>of prevalence (</w:t>
      </w:r>
      <w:r w:rsidR="001338DB">
        <w:t>baseline</w:t>
      </w:r>
      <w:r w:rsidR="00DA7ABE">
        <w:t>)</w:t>
      </w:r>
      <w:r w:rsidR="002E6465">
        <w:t xml:space="preserve"> </w:t>
      </w:r>
      <w:r w:rsidR="00DA7ABE">
        <w:t xml:space="preserve">exams </w:t>
      </w:r>
      <w:r w:rsidR="001338DB">
        <w:t xml:space="preserve">and </w:t>
      </w:r>
      <w:r w:rsidR="002E6465">
        <w:t>6</w:t>
      </w:r>
      <w:r w:rsidR="001338DB">
        <w:t xml:space="preserve">% </w:t>
      </w:r>
      <w:r w:rsidR="00DA7ABE">
        <w:t>of</w:t>
      </w:r>
      <w:r w:rsidR="001338DB">
        <w:t xml:space="preserve"> incidence (annual</w:t>
      </w:r>
      <w:r w:rsidR="002E6465">
        <w:t>)</w:t>
      </w:r>
      <w:r w:rsidR="00DA7ABE">
        <w:t xml:space="preserve"> exam</w:t>
      </w:r>
      <w:r w:rsidR="001338DB">
        <w:t>.</w:t>
      </w:r>
      <w:r w:rsidR="002E6465">
        <w:t xml:space="preserve"> In clinica</w:t>
      </w:r>
      <w:r w:rsidR="001338DB">
        <w:t xml:space="preserve">l practice </w:t>
      </w:r>
      <w:r w:rsidR="002E6465">
        <w:t>when clinically significant incidental findings are restricted to unexpected findings which are either new or unknown and require some form of clinical or imaging care escalation prior to the next CTLS exam</w:t>
      </w:r>
      <w:r w:rsidR="00DA7ABE">
        <w:t>, prevalence (baseline) rates are</w:t>
      </w:r>
      <w:r w:rsidR="002E6465">
        <w:t xml:space="preserve"> </w:t>
      </w:r>
      <w:r w:rsidR="00373FF2">
        <w:t>6-7</w:t>
      </w:r>
      <w:r w:rsidR="00CB53A8">
        <w:t xml:space="preserve">% </w:t>
      </w:r>
      <w:r w:rsidR="00DA7ABE">
        <w:t xml:space="preserve">and </w:t>
      </w:r>
      <w:r w:rsidR="00CB53A8">
        <w:t>2% on incidence (annual) scans</w:t>
      </w:r>
      <w:r w:rsidR="00373FF2">
        <w:t xml:space="preserve">. </w:t>
      </w:r>
      <w:r w:rsidR="00DA7ABE">
        <w:t xml:space="preserve"> </w:t>
      </w:r>
      <w:r w:rsidR="002E6465">
        <w:t xml:space="preserve">80% - 90% of </w:t>
      </w:r>
      <w:r w:rsidR="00DA7ABE">
        <w:t xml:space="preserve">CTLS </w:t>
      </w:r>
      <w:r w:rsidR="002E6465">
        <w:t>participants</w:t>
      </w:r>
      <w:r w:rsidR="00DA7ABE">
        <w:t xml:space="preserve"> </w:t>
      </w:r>
      <w:r w:rsidR="002E6465">
        <w:t>have some degree of emphysema or coronary artery calcifications</w:t>
      </w:r>
      <w:r w:rsidR="00DA7ABE">
        <w:t xml:space="preserve"> as</w:t>
      </w:r>
      <w:r w:rsidR="002E6465">
        <w:t xml:space="preserve"> expected in </w:t>
      </w:r>
      <w:r w:rsidR="00DA7ABE">
        <w:t>an</w:t>
      </w:r>
      <w:r w:rsidR="002E6465">
        <w:t xml:space="preserve"> </w:t>
      </w:r>
      <w:r w:rsidR="00DA7ABE">
        <w:t xml:space="preserve">older </w:t>
      </w:r>
      <w:r w:rsidR="002E6465">
        <w:t>population</w:t>
      </w:r>
      <w:r w:rsidR="00DA7ABE">
        <w:t xml:space="preserve"> </w:t>
      </w:r>
      <w:r w:rsidR="002E6465">
        <w:t xml:space="preserve">with </w:t>
      </w:r>
      <w:r w:rsidR="00DA7ABE">
        <w:t>a history</w:t>
      </w:r>
      <w:r w:rsidR="002A19D2">
        <w:t xml:space="preserve"> of</w:t>
      </w:r>
      <w:r w:rsidR="00DA7ABE">
        <w:t xml:space="preserve"> </w:t>
      </w:r>
      <w:r w:rsidR="002E6465">
        <w:t xml:space="preserve">heavy smoking. </w:t>
      </w:r>
      <w:r w:rsidR="007240CF">
        <w:t>Even i</w:t>
      </w:r>
      <w:r w:rsidR="002E6465">
        <w:t xml:space="preserve">f CTLS programs include only severe emphysema or coronary artery calcifications as clinically significant incidental findings the rate of </w:t>
      </w:r>
      <w:r w:rsidR="00DA7ABE">
        <w:t>these</w:t>
      </w:r>
      <w:r w:rsidR="002E6465">
        <w:t xml:space="preserve"> findings will be 3-4x that reported in the NLST</w:t>
      </w:r>
      <w:r w:rsidR="007240CF">
        <w:t xml:space="preserve"> as </w:t>
      </w:r>
      <w:r w:rsidR="00DA7ABE">
        <w:t>seen</w:t>
      </w:r>
      <w:r w:rsidR="007240CF">
        <w:t xml:space="preserve"> in this study.</w:t>
      </w:r>
      <w:r w:rsidR="009512A4">
        <w:t xml:space="preserve"> </w:t>
      </w:r>
    </w:p>
    <w:p w14:paraId="44BB6104" w14:textId="6031FE90" w:rsidR="002E6465" w:rsidRDefault="002E6465" w:rsidP="002A19D2">
      <w:pPr>
        <w:pStyle w:val="ListParagraph"/>
        <w:spacing w:before="0" w:after="200" w:line="276" w:lineRule="auto"/>
        <w:ind w:left="1800"/>
      </w:pPr>
    </w:p>
    <w:p w14:paraId="6A4A5F20" w14:textId="69E2F2A6" w:rsidR="002E6465" w:rsidRDefault="002E6465" w:rsidP="002A19D2">
      <w:pPr>
        <w:spacing w:before="0" w:after="200" w:line="276" w:lineRule="auto"/>
        <w:ind w:left="1440"/>
      </w:pPr>
    </w:p>
    <w:p w14:paraId="62967D30" w14:textId="25B26E00" w:rsidR="00520669" w:rsidRDefault="00520669" w:rsidP="00520669">
      <w:pPr>
        <w:pStyle w:val="ListParagraph"/>
        <w:spacing w:before="0" w:after="200" w:line="276" w:lineRule="auto"/>
        <w:ind w:left="0"/>
      </w:pPr>
      <w:r>
        <w:t>References:</w:t>
      </w:r>
    </w:p>
    <w:p w14:paraId="4932B1A5" w14:textId="00E44C2F" w:rsidR="00520669" w:rsidRDefault="00520669" w:rsidP="00520669">
      <w:pPr>
        <w:pStyle w:val="ListParagraph"/>
        <w:spacing w:before="0" w:after="200" w:line="276" w:lineRule="auto"/>
        <w:ind w:left="0"/>
      </w:pPr>
    </w:p>
    <w:p w14:paraId="606ED657" w14:textId="77777777" w:rsidR="00D76D4E" w:rsidRPr="00AA7DEC" w:rsidRDefault="00D76D4E" w:rsidP="00D76D4E">
      <w:pPr>
        <w:spacing w:before="0" w:after="200" w:line="276" w:lineRule="auto"/>
        <w:ind w:left="360"/>
      </w:pPr>
      <w:r w:rsidRPr="00173DB6">
        <w:t xml:space="preserve">Aberle DR, Adams AM, Berg CD, Black WC, Clapp JD, </w:t>
      </w:r>
      <w:proofErr w:type="spellStart"/>
      <w:r w:rsidRPr="00173DB6">
        <w:t>Fagerstrom</w:t>
      </w:r>
      <w:proofErr w:type="spellEnd"/>
      <w:r w:rsidRPr="00173DB6">
        <w:t xml:space="preserve"> RM, Gareen IF, Gatsonis C, Marcus PM, Sicks JD. Reduced lung-cancer mortality with low-dose computed tomographic screening. N </w:t>
      </w:r>
      <w:proofErr w:type="spellStart"/>
      <w:r w:rsidRPr="00173DB6">
        <w:t>Engl</w:t>
      </w:r>
      <w:proofErr w:type="spellEnd"/>
      <w:r w:rsidRPr="00173DB6">
        <w:t xml:space="preserve"> J Med 2011;365(5):395-409. PM:21714641</w:t>
      </w:r>
    </w:p>
    <w:p w14:paraId="1721BFA5" w14:textId="77777777" w:rsidR="00D76D4E" w:rsidRPr="00AA7DEC" w:rsidRDefault="00D76D4E" w:rsidP="00D76D4E">
      <w:pPr>
        <w:spacing w:before="0" w:after="200" w:line="276" w:lineRule="auto"/>
        <w:ind w:left="360"/>
      </w:pPr>
      <w:r w:rsidRPr="00173DB6">
        <w:t xml:space="preserve">Swensen SJ, Jett JR, Hartman TE, </w:t>
      </w:r>
      <w:proofErr w:type="spellStart"/>
      <w:r w:rsidRPr="00173DB6">
        <w:t>Midthun</w:t>
      </w:r>
      <w:proofErr w:type="spellEnd"/>
      <w:r w:rsidRPr="00173DB6">
        <w:t xml:space="preserve"> DE, Sloan JA, Sykes AM, </w:t>
      </w:r>
      <w:proofErr w:type="spellStart"/>
      <w:r w:rsidRPr="00173DB6">
        <w:t>Aughenbaugh</w:t>
      </w:r>
      <w:proofErr w:type="spellEnd"/>
      <w:r w:rsidRPr="00173DB6">
        <w:t xml:space="preserve"> GL, Clemens MA. Lung cancer screening with CT: Mayo Clinic experience. Radiology. 2003 Mar;226(3):756-61. </w:t>
      </w:r>
      <w:proofErr w:type="spellStart"/>
      <w:r w:rsidRPr="00173DB6">
        <w:t>doi</w:t>
      </w:r>
      <w:proofErr w:type="spellEnd"/>
      <w:r w:rsidRPr="00173DB6">
        <w:t xml:space="preserve">: 10.1148/radiol.2263020036. </w:t>
      </w:r>
      <w:proofErr w:type="spellStart"/>
      <w:r w:rsidRPr="00173DB6">
        <w:t>Epub</w:t>
      </w:r>
      <w:proofErr w:type="spellEnd"/>
      <w:r w:rsidRPr="00173DB6">
        <w:t xml:space="preserve"> 2003 Jan 24. PMID: 12601181.</w:t>
      </w:r>
    </w:p>
    <w:p w14:paraId="04C1CFF9" w14:textId="77777777" w:rsidR="00D76D4E" w:rsidRPr="00AA7DEC" w:rsidRDefault="00D76D4E" w:rsidP="00D76D4E">
      <w:pPr>
        <w:spacing w:before="0" w:after="200" w:line="276" w:lineRule="auto"/>
        <w:ind w:left="360"/>
      </w:pPr>
      <w:r w:rsidRPr="00173DB6">
        <w:t xml:space="preserve">Pinsky PF, </w:t>
      </w:r>
      <w:proofErr w:type="spellStart"/>
      <w:r w:rsidRPr="00173DB6">
        <w:t>Gierada</w:t>
      </w:r>
      <w:proofErr w:type="spellEnd"/>
      <w:r w:rsidRPr="00173DB6">
        <w:t xml:space="preserve"> DS, Black W, et al. Performance of Lung-RADS in the National Lung Screening Trial: a retrospective assessment. Ann Intern Med. 2015;162(7):485-491. doi:10.7326/M14-2086</w:t>
      </w:r>
    </w:p>
    <w:p w14:paraId="1A542B52" w14:textId="77777777" w:rsidR="00D76D4E" w:rsidRPr="002E7877" w:rsidRDefault="00D76D4E" w:rsidP="00D76D4E">
      <w:pPr>
        <w:spacing w:before="0" w:after="200" w:line="276" w:lineRule="auto"/>
        <w:ind w:left="360"/>
      </w:pPr>
      <w:r w:rsidRPr="00173DB6">
        <w:t xml:space="preserve">McKee BJ, Regis SM, McKee AB, Flacke S, Wald C. Performance of ACR Lung-RADS in a Clinical CT Lung Screening Program. J Am Coll </w:t>
      </w:r>
      <w:proofErr w:type="spellStart"/>
      <w:r w:rsidRPr="00173DB6">
        <w:t>Radiol</w:t>
      </w:r>
      <w:proofErr w:type="spellEnd"/>
      <w:r w:rsidRPr="00173DB6">
        <w:t>. 2016 Feb;13(2 Suppl</w:t>
      </w:r>
      <w:proofErr w:type="gramStart"/>
      <w:r w:rsidRPr="00173DB6">
        <w:t>):R</w:t>
      </w:r>
      <w:proofErr w:type="gramEnd"/>
      <w:r w:rsidRPr="00173DB6">
        <w:t xml:space="preserve">25-9. </w:t>
      </w:r>
      <w:proofErr w:type="spellStart"/>
      <w:r w:rsidRPr="00173DB6">
        <w:t>doi</w:t>
      </w:r>
      <w:proofErr w:type="spellEnd"/>
      <w:r w:rsidRPr="00173DB6">
        <w:t>: 10.1016/j.jacr.2015.12.009. PMID: 26846532.</w:t>
      </w:r>
    </w:p>
    <w:p w14:paraId="2A0EB48B" w14:textId="77777777" w:rsidR="00D76D4E" w:rsidRPr="00173DB6" w:rsidRDefault="00D76D4E" w:rsidP="00D76D4E">
      <w:pPr>
        <w:spacing w:before="0" w:after="200" w:line="276" w:lineRule="auto"/>
        <w:ind w:left="360"/>
      </w:pPr>
      <w:r w:rsidRPr="00173DB6">
        <w:t xml:space="preserve">Yip R, Henschke CI, Yankelevitz DF, Smith JP. CT screening for lung cancer: alternative definitions of positive test result based on the national lung screening trial and international early lung cancer action program databases. Radiology. 2014 Nov;273(2):591-6. </w:t>
      </w:r>
      <w:proofErr w:type="spellStart"/>
      <w:r w:rsidRPr="00173DB6">
        <w:t>doi</w:t>
      </w:r>
      <w:proofErr w:type="spellEnd"/>
      <w:r w:rsidRPr="00173DB6">
        <w:t xml:space="preserve">: 10.1148/radiol.14132950. </w:t>
      </w:r>
      <w:proofErr w:type="spellStart"/>
      <w:r w:rsidRPr="00173DB6">
        <w:t>Epub</w:t>
      </w:r>
      <w:proofErr w:type="spellEnd"/>
      <w:r w:rsidRPr="00173DB6">
        <w:t xml:space="preserve"> 2014 Jun 19. PMID: 24955929.</w:t>
      </w:r>
    </w:p>
    <w:p w14:paraId="1131047A" w14:textId="75D0A177" w:rsidR="00D76D4E" w:rsidRDefault="00D76D4E" w:rsidP="00D76D4E">
      <w:pPr>
        <w:spacing w:before="0" w:after="200" w:line="276" w:lineRule="auto"/>
        <w:ind w:left="360"/>
      </w:pPr>
      <w:proofErr w:type="spellStart"/>
      <w:r w:rsidRPr="00D76D4E">
        <w:t>Gierada</w:t>
      </w:r>
      <w:proofErr w:type="spellEnd"/>
      <w:r w:rsidRPr="00D76D4E">
        <w:t xml:space="preserve"> DS, Pinsky P, Nath H, Chiles C, Duan F, Aberle DR. </w:t>
      </w:r>
      <w:r w:rsidRPr="00173DB6">
        <w:t>Projected outcomes using different nodule sizes to define a positive CT lung cancer screening examination. J Natl Cancer Inst. 2014 Oct 18;106(11</w:t>
      </w:r>
      <w:proofErr w:type="gramStart"/>
      <w:r w:rsidRPr="00173DB6">
        <w:t>):dju</w:t>
      </w:r>
      <w:proofErr w:type="gramEnd"/>
      <w:r w:rsidRPr="00173DB6">
        <w:t xml:space="preserve">284. </w:t>
      </w:r>
      <w:proofErr w:type="spellStart"/>
      <w:r w:rsidRPr="00173DB6">
        <w:t>doi</w:t>
      </w:r>
      <w:proofErr w:type="spellEnd"/>
      <w:r w:rsidRPr="00173DB6">
        <w:t>: 10.1093/</w:t>
      </w:r>
      <w:proofErr w:type="spellStart"/>
      <w:r w:rsidRPr="00173DB6">
        <w:t>jnci</w:t>
      </w:r>
      <w:proofErr w:type="spellEnd"/>
      <w:r w:rsidRPr="00173DB6">
        <w:t>/dju284. PMID: 25326638; PMCID: PMC4207860.</w:t>
      </w:r>
    </w:p>
    <w:p w14:paraId="3DA27B5B" w14:textId="77777777" w:rsidR="00D76D4E" w:rsidRPr="00D76D4E" w:rsidRDefault="00D76D4E" w:rsidP="00EC7009">
      <w:pPr>
        <w:pStyle w:val="NormalWeb"/>
        <w:kinsoku w:val="0"/>
        <w:overflowPunct w:val="0"/>
        <w:spacing w:before="0" w:beforeAutospacing="0" w:after="0" w:afterAutospacing="0"/>
        <w:ind w:left="360"/>
        <w:textAlignment w:val="baseline"/>
        <w:rPr>
          <w:rFonts w:asciiTheme="minorHAnsi" w:eastAsiaTheme="minorHAnsi" w:hAnsiTheme="minorHAnsi" w:cstheme="minorBidi"/>
          <w:color w:val="858585" w:themeColor="text1" w:themeTint="A6"/>
        </w:rPr>
      </w:pPr>
      <w:r w:rsidRPr="00D76D4E">
        <w:rPr>
          <w:rFonts w:asciiTheme="minorHAnsi" w:eastAsiaTheme="minorHAnsi" w:hAnsiTheme="minorHAnsi" w:cstheme="minorBidi"/>
          <w:color w:val="858585" w:themeColor="text1" w:themeTint="A6"/>
        </w:rPr>
        <w:t xml:space="preserve">McKee BJ, Regis S, Borondy-Kitts AK, Hashim JA, French Jr RJ, Wald C, McKee AB. NCCN Guidelines as a model of extended criteria for lung cancer screening. J Natl </w:t>
      </w:r>
      <w:proofErr w:type="spellStart"/>
      <w:r w:rsidRPr="00D76D4E">
        <w:rPr>
          <w:rFonts w:asciiTheme="minorHAnsi" w:eastAsiaTheme="minorHAnsi" w:hAnsiTheme="minorHAnsi" w:cstheme="minorBidi"/>
          <w:color w:val="858585" w:themeColor="text1" w:themeTint="A6"/>
        </w:rPr>
        <w:t>Compr</w:t>
      </w:r>
      <w:proofErr w:type="spellEnd"/>
      <w:r w:rsidRPr="00D76D4E">
        <w:rPr>
          <w:rFonts w:asciiTheme="minorHAnsi" w:eastAsiaTheme="minorHAnsi" w:hAnsiTheme="minorHAnsi" w:cstheme="minorBidi"/>
          <w:color w:val="858585" w:themeColor="text1" w:themeTint="A6"/>
        </w:rPr>
        <w:t xml:space="preserve"> </w:t>
      </w:r>
      <w:proofErr w:type="spellStart"/>
      <w:r w:rsidRPr="00D76D4E">
        <w:rPr>
          <w:rFonts w:asciiTheme="minorHAnsi" w:eastAsiaTheme="minorHAnsi" w:hAnsiTheme="minorHAnsi" w:cstheme="minorBidi"/>
          <w:color w:val="858585" w:themeColor="text1" w:themeTint="A6"/>
        </w:rPr>
        <w:t>Canc</w:t>
      </w:r>
      <w:proofErr w:type="spellEnd"/>
      <w:r w:rsidRPr="00D76D4E">
        <w:rPr>
          <w:rFonts w:asciiTheme="minorHAnsi" w:eastAsiaTheme="minorHAnsi" w:hAnsiTheme="minorHAnsi" w:cstheme="minorBidi"/>
          <w:color w:val="858585" w:themeColor="text1" w:themeTint="A6"/>
        </w:rPr>
        <w:t xml:space="preserve"> </w:t>
      </w:r>
      <w:proofErr w:type="spellStart"/>
      <w:r w:rsidRPr="00D76D4E">
        <w:rPr>
          <w:rFonts w:asciiTheme="minorHAnsi" w:eastAsiaTheme="minorHAnsi" w:hAnsiTheme="minorHAnsi" w:cstheme="minorBidi"/>
          <w:color w:val="858585" w:themeColor="text1" w:themeTint="A6"/>
        </w:rPr>
        <w:t>Netw</w:t>
      </w:r>
      <w:proofErr w:type="spellEnd"/>
      <w:r w:rsidRPr="00D76D4E">
        <w:rPr>
          <w:rFonts w:asciiTheme="minorHAnsi" w:eastAsiaTheme="minorHAnsi" w:hAnsiTheme="minorHAnsi" w:cstheme="minorBidi"/>
          <w:color w:val="858585" w:themeColor="text1" w:themeTint="A6"/>
        </w:rPr>
        <w:t xml:space="preserve">. </w:t>
      </w:r>
      <w:proofErr w:type="gramStart"/>
      <w:r w:rsidRPr="00D76D4E">
        <w:rPr>
          <w:rFonts w:asciiTheme="minorHAnsi" w:eastAsiaTheme="minorHAnsi" w:hAnsiTheme="minorHAnsi" w:cstheme="minorBidi"/>
          <w:color w:val="858585" w:themeColor="text1" w:themeTint="A6"/>
        </w:rPr>
        <w:t>2018;16:444</w:t>
      </w:r>
      <w:proofErr w:type="gramEnd"/>
      <w:r w:rsidRPr="00D76D4E">
        <w:rPr>
          <w:rFonts w:asciiTheme="minorHAnsi" w:eastAsiaTheme="minorHAnsi" w:hAnsiTheme="minorHAnsi" w:cstheme="minorBidi"/>
          <w:color w:val="858585" w:themeColor="text1" w:themeTint="A6"/>
        </w:rPr>
        <w:t xml:space="preserve">-449. </w:t>
      </w:r>
      <w:proofErr w:type="spellStart"/>
      <w:r w:rsidRPr="00D76D4E">
        <w:rPr>
          <w:rFonts w:asciiTheme="minorHAnsi" w:eastAsiaTheme="minorHAnsi" w:hAnsiTheme="minorHAnsi" w:cstheme="minorBidi"/>
          <w:color w:val="858585" w:themeColor="text1" w:themeTint="A6"/>
        </w:rPr>
        <w:t>doi</w:t>
      </w:r>
      <w:proofErr w:type="spellEnd"/>
      <w:r w:rsidRPr="00D76D4E">
        <w:rPr>
          <w:rFonts w:asciiTheme="minorHAnsi" w:eastAsiaTheme="minorHAnsi" w:hAnsiTheme="minorHAnsi" w:cstheme="minorBidi"/>
          <w:color w:val="858585" w:themeColor="text1" w:themeTint="A6"/>
        </w:rPr>
        <w:t xml:space="preserve">: 10.6004/jnccn.2018.7021 </w:t>
      </w:r>
    </w:p>
    <w:p w14:paraId="5FCF59ED" w14:textId="77777777" w:rsidR="00D76D4E" w:rsidRPr="00CF0C9F" w:rsidRDefault="00D76D4E" w:rsidP="00EC7009">
      <w:pPr>
        <w:spacing w:before="0" w:after="200" w:line="276" w:lineRule="auto"/>
        <w:ind w:left="720"/>
      </w:pPr>
    </w:p>
    <w:p w14:paraId="7DBBC5BE" w14:textId="36B7BBA5" w:rsidR="00520669" w:rsidRDefault="00520669" w:rsidP="00520669">
      <w:pPr>
        <w:pStyle w:val="ListParagraph"/>
        <w:spacing w:before="0" w:after="200" w:line="276" w:lineRule="auto"/>
        <w:ind w:left="0"/>
      </w:pPr>
    </w:p>
    <w:p w14:paraId="41A670F3" w14:textId="77777777" w:rsidR="00D91266" w:rsidRDefault="00D91266" w:rsidP="00520669">
      <w:pPr>
        <w:pStyle w:val="ListParagraph"/>
        <w:spacing w:before="0" w:after="200" w:line="276" w:lineRule="auto"/>
        <w:ind w:left="0"/>
      </w:pPr>
    </w:p>
    <w:sectPr w:rsidR="00D91266" w:rsidSect="00495909">
      <w:headerReference w:type="default" r:id="rId14"/>
      <w:footerReference w:type="default" r:id="rId15"/>
      <w:footerReference w:type="first" r:id="rId16"/>
      <w:pgSz w:w="12240" w:h="15840" w:code="1"/>
      <w:pgMar w:top="2160"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E14D" w14:textId="77777777" w:rsidR="0033404B" w:rsidRDefault="0033404B" w:rsidP="005A20E2">
      <w:pPr>
        <w:spacing w:after="0"/>
      </w:pPr>
      <w:r>
        <w:separator/>
      </w:r>
    </w:p>
    <w:p w14:paraId="1C9E047E" w14:textId="77777777" w:rsidR="0033404B" w:rsidRDefault="0033404B"/>
    <w:p w14:paraId="751F0E1E" w14:textId="77777777" w:rsidR="0033404B" w:rsidRDefault="0033404B" w:rsidP="009B4773"/>
    <w:p w14:paraId="436D8584" w14:textId="77777777" w:rsidR="0033404B" w:rsidRDefault="0033404B" w:rsidP="00513832"/>
  </w:endnote>
  <w:endnote w:type="continuationSeparator" w:id="0">
    <w:p w14:paraId="5525A6E6" w14:textId="77777777" w:rsidR="0033404B" w:rsidRDefault="0033404B" w:rsidP="005A20E2">
      <w:pPr>
        <w:spacing w:after="0"/>
      </w:pPr>
      <w:r>
        <w:continuationSeparator/>
      </w:r>
    </w:p>
    <w:p w14:paraId="2080B4D3" w14:textId="77777777" w:rsidR="0033404B" w:rsidRDefault="0033404B"/>
    <w:p w14:paraId="04A5D261" w14:textId="77777777" w:rsidR="0033404B" w:rsidRDefault="0033404B" w:rsidP="009B4773"/>
    <w:p w14:paraId="688490E7" w14:textId="77777777" w:rsidR="0033404B" w:rsidRDefault="0033404B"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800000AF" w:usb1="4000604A" w:usb2="00000000" w:usb3="00000000" w:csb0="00000093"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079E" w14:textId="7B4D2627" w:rsidR="00767EDA" w:rsidRPr="00F8411A" w:rsidRDefault="003B7BEE" w:rsidP="00F8411A">
    <w:pPr>
      <w:pStyle w:val="Footer"/>
    </w:pPr>
    <w:r w:rsidRPr="00A81A28">
      <w:t>RESCUE LUNG RESCUE LIFE SOCIETY</w:t>
    </w:r>
    <w:r>
      <w:t xml:space="preserve"> |</w:t>
    </w:r>
    <w:r w:rsidRPr="00A81A28">
      <w:t xml:space="preserve"> </w:t>
    </w:r>
    <w:r w:rsidRPr="00A81A28">
      <w:rPr>
        <w:i/>
        <w:iCs/>
      </w:rPr>
      <w:t>Rescuing lives from lung cancer today and tomorrow</w:t>
    </w:r>
    <w:r w:rsidR="00767EDA" w:rsidRPr="00F8411A">
      <w:tab/>
    </w:r>
    <w:r w:rsidR="00767EDA" w:rsidRPr="00F8411A">
      <w:fldChar w:fldCharType="begin"/>
    </w:r>
    <w:r w:rsidR="00767EDA" w:rsidRPr="00F8411A">
      <w:instrText xml:space="preserve"> PAGE   \* MERGEFORMAT </w:instrText>
    </w:r>
    <w:r w:rsidR="00767EDA" w:rsidRPr="00F8411A">
      <w:fldChar w:fldCharType="separate"/>
    </w:r>
    <w:r w:rsidR="00496C61">
      <w:rPr>
        <w:noProof/>
      </w:rPr>
      <w:t>3</w:t>
    </w:r>
    <w:r w:rsidR="00767EDA"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7669321F" w14:textId="77777777" w:rsidR="00767EDA" w:rsidRDefault="00767EDA" w:rsidP="00F8411A">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3CB4C02E" w14:textId="77777777" w:rsidR="00767EDA" w:rsidRDefault="0033404B"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EA9D4" w14:textId="77777777" w:rsidR="0033404B" w:rsidRDefault="0033404B" w:rsidP="005A20E2">
      <w:pPr>
        <w:spacing w:after="0"/>
      </w:pPr>
      <w:r>
        <w:separator/>
      </w:r>
    </w:p>
    <w:p w14:paraId="08F601C3" w14:textId="77777777" w:rsidR="0033404B" w:rsidRDefault="0033404B"/>
    <w:p w14:paraId="60AE3DDA" w14:textId="77777777" w:rsidR="0033404B" w:rsidRDefault="0033404B" w:rsidP="009B4773"/>
    <w:p w14:paraId="1787ADE3" w14:textId="77777777" w:rsidR="0033404B" w:rsidRDefault="0033404B" w:rsidP="00513832"/>
  </w:footnote>
  <w:footnote w:type="continuationSeparator" w:id="0">
    <w:p w14:paraId="24030329" w14:textId="77777777" w:rsidR="0033404B" w:rsidRDefault="0033404B" w:rsidP="005A20E2">
      <w:pPr>
        <w:spacing w:after="0"/>
      </w:pPr>
      <w:r>
        <w:continuationSeparator/>
      </w:r>
    </w:p>
    <w:p w14:paraId="229D095F" w14:textId="77777777" w:rsidR="0033404B" w:rsidRDefault="0033404B"/>
    <w:p w14:paraId="7D7D544E" w14:textId="77777777" w:rsidR="0033404B" w:rsidRDefault="0033404B" w:rsidP="009B4773"/>
    <w:p w14:paraId="4C182986" w14:textId="77777777" w:rsidR="0033404B" w:rsidRDefault="0033404B"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3336" w14:textId="3C2A7493" w:rsidR="003B7BEE" w:rsidRPr="00EB47F9" w:rsidRDefault="003B7BEE" w:rsidP="00EB47F9">
    <w:pPr>
      <w:pStyle w:val="Header"/>
      <w:rPr>
        <w:rStyle w:val="TitleChar"/>
        <w:rFonts w:eastAsiaTheme="minorHAnsi" w:cstheme="minorBidi"/>
        <w:b/>
        <w:color w:val="FFC423" w:themeColor="accent2"/>
        <w:spacing w:val="0"/>
        <w:kern w:val="0"/>
        <w:sz w:val="28"/>
        <w:szCs w:val="24"/>
      </w:rPr>
    </w:pPr>
    <w:r>
      <w:rPr>
        <w:noProof/>
      </w:rPr>
      <w:drawing>
        <wp:anchor distT="0" distB="0" distL="114300" distR="114300" simplePos="0" relativeHeight="251692032" behindDoc="1" locked="0" layoutInCell="1" allowOverlap="1" wp14:anchorId="4AD6E962" wp14:editId="31C43A0E">
          <wp:simplePos x="0" y="0"/>
          <wp:positionH relativeFrom="column">
            <wp:posOffset>6206392</wp:posOffset>
          </wp:positionH>
          <wp:positionV relativeFrom="paragraph">
            <wp:posOffset>-149860</wp:posOffset>
          </wp:positionV>
          <wp:extent cx="598805" cy="623570"/>
          <wp:effectExtent l="0" t="0" r="0" b="5080"/>
          <wp:wrapTight wrapText="bothSides">
            <wp:wrapPolygon edited="0">
              <wp:start x="8933" y="0"/>
              <wp:lineTo x="0" y="6599"/>
              <wp:lineTo x="0" y="16497"/>
              <wp:lineTo x="4810" y="21116"/>
              <wp:lineTo x="10308" y="21116"/>
              <wp:lineTo x="13743" y="21116"/>
              <wp:lineTo x="20615" y="11878"/>
              <wp:lineTo x="20615" y="9898"/>
              <wp:lineTo x="14431" y="0"/>
              <wp:lineTo x="893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623570"/>
                  </a:xfrm>
                  <a:prstGeom prst="rect">
                    <a:avLst/>
                  </a:prstGeom>
                  <a:noFill/>
                  <a:ln>
                    <a:noFill/>
                  </a:ln>
                </pic:spPr>
              </pic:pic>
            </a:graphicData>
          </a:graphic>
        </wp:anchor>
      </w:drawing>
    </w:r>
    <w:r w:rsidRPr="00EB47F9">
      <w:t xml:space="preserve"> </w:t>
    </w:r>
  </w:p>
  <w:p w14:paraId="1FB2655A" w14:textId="77777777" w:rsidR="003B7BEE" w:rsidRPr="00EB47F9" w:rsidRDefault="003B7BEE" w:rsidP="00EB47F9">
    <w:pPr>
      <w:pStyle w:val="Header2"/>
    </w:pPr>
    <w:r>
      <w:rPr>
        <w:noProof/>
      </w:rPr>
      <mc:AlternateContent>
        <mc:Choice Requires="wps">
          <w:drawing>
            <wp:anchor distT="45720" distB="45720" distL="114300" distR="114300" simplePos="0" relativeHeight="251689984" behindDoc="1" locked="0" layoutInCell="1" allowOverlap="1" wp14:anchorId="25A1FB3D" wp14:editId="52301625">
              <wp:simplePos x="0" y="0"/>
              <wp:positionH relativeFrom="page">
                <wp:posOffset>0</wp:posOffset>
              </wp:positionH>
              <wp:positionV relativeFrom="page">
                <wp:posOffset>0</wp:posOffset>
              </wp:positionV>
              <wp:extent cx="10058400" cy="1143000"/>
              <wp:effectExtent l="0" t="0" r="0" b="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bg1">
                          <a:lumMod val="85000"/>
                          <a:alpha val="50000"/>
                        </a:schemeClr>
                      </a:solidFill>
                      <a:ln w="9525">
                        <a:noFill/>
                        <a:miter lim="800000"/>
                        <a:headEnd/>
                        <a:tailEnd/>
                      </a:ln>
                    </wps:spPr>
                    <wps:txbx>
                      <w:txbxContent>
                        <w:p w14:paraId="607DB0AD" w14:textId="77777777" w:rsidR="003B7BEE" w:rsidRDefault="003B7BEE" w:rsidP="00EB47F9"/>
                      </w:txbxContent>
                    </wps:txbx>
                    <wps:bodyPr rot="0" vert="horz" wrap="square" lIns="720000" tIns="288000" rIns="91440" bIns="45720" anchor="ctr" anchorCtr="0">
                      <a:noAutofit/>
                    </wps:bodyPr>
                  </wps:wsp>
                </a:graphicData>
              </a:graphic>
              <wp14:sizeRelH relativeFrom="page">
                <wp14:pctWidth>130000</wp14:pctWidth>
              </wp14:sizeRelH>
              <wp14:sizeRelV relativeFrom="margin">
                <wp14:pctHeight>0</wp14:pctHeight>
              </wp14:sizeRelV>
            </wp:anchor>
          </w:drawing>
        </mc:Choice>
        <mc:Fallback>
          <w:pict>
            <v:shapetype w14:anchorId="25A1FB3D" id="_x0000_t202" coordsize="21600,21600" o:spt="202" path="m,l,21600r21600,l21600,xe">
              <v:stroke joinstyle="miter"/>
              <v:path gradientshapeok="t" o:connecttype="rect"/>
            </v:shapetype>
            <v:shape id="Text Box 2" o:spid="_x0000_s1026" type="#_x0000_t202" alt="&quot;&quot;" style="position:absolute;margin-left:0;margin-top:0;width:11in;height:90pt;z-index:-251626496;visibility:visible;mso-wrap-style:square;mso-width-percent:1300;mso-height-percent:0;mso-wrap-distance-left:9pt;mso-wrap-distance-top:3.6pt;mso-wrap-distance-right:9pt;mso-wrap-distance-bottom:3.6pt;mso-position-horizontal:absolute;mso-position-horizontal-relative:page;mso-position-vertical:absolute;mso-position-vertical-relative:page;mso-width-percent:13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2kQAIAAFsEAAAOAAAAZHJzL2Uyb0RvYy54bWysVNtu2zAMfR+wfxD0vtjJki414hRdug4D&#10;ugvQ7gMYWY6FSaImKbG7ry8lJ2m3vQ17EUSKPjw8JL26GoxmB+mDQlvz6aTkTFqBjbK7mn9/uH2z&#10;5CxEsA1otLLmjzLwq/XrV6veVXKGHepGekYgNlS9q3kXo6uKIohOGggTdNLSY4veQCTT74rGQ0/o&#10;RhezsrwoevSN8yhkCOS9GR/5OuO3rRTxa9sGGZmuOXGL+fT53KazWK+g2nlwnRJHGvAPLAwoS0nP&#10;UDcQge29+gvKKOExYBsnAk2BbauEzDVQNdPyj2ruO3Ay10LiBHeWKfw/WPHl8M0z1VDvLjizYKhH&#10;D3KI7D0ObJbk6V2oKOreUVwcyE2hudTg7lD8CMzipgO7k9feY99JaIjeNH1ZvPh0xAkJZNt/xobS&#10;wD5iBhpab5J2pAYjdGrT47k1iYpIKctysZyX9CbocTqdvy3JSEmgOn3vfIgfJRqWLjX31PyMD4e7&#10;EMfQU0hKF1Cr5lZpnY00cHKjPTsAjcp2N9ao94bIjr7l4pgSKtCug9GbnCcieWoTSKb1G762rK/5&#10;5WK2yJQspsTECSqjIm2AVqbmy4R1nMkk5Afb5JAISo93qlbbo7JJzFHWOGwHCkxyb7F5JI09jpNO&#10;m0mXDv0vznqa8pqHn3vwkjP9yVKf3tEOJVFjtmbLxIAzn63L6XxOxjYb8wWFcgZWEFjNRfQnYxPz&#10;OqVSLF5TT1uVxX5mc+RLE5x1OW5bWpGXdo56/iesnwAAAP//AwBQSwMEFAAGAAgAAAAhAIvwJWvb&#10;AAAABgEAAA8AAABkcnMvZG93bnJldi54bWxMj81qwzAQhO+FvIPYQG+NlNAE41oOIRBIKYXW/Tkr&#10;1tY2tVZGUhLn7bvppb0sO8wy+02xHl0vThhi50nDfKZAINXedtRoeH/b3WUgYjJkTe8JNVwwwrqc&#10;3BQmt/5Mr3iqUiM4hGJuNLQpDbmUsW7RmTjzAxJ7Xz44k1iGRtpgzhzuerlQaiWd6Yg/tGbAbYv1&#10;d3V0Gl4W/mkX9nT5HFbqY+k33fz5sdL6djpuHkAkHNPfMVzxGR1KZjr4I9koeg1cJP3Oq7fM7lkf&#10;eMuUAlkW8j9++QMAAP//AwBQSwECLQAUAAYACAAAACEAtoM4kv4AAADhAQAAEwAAAAAAAAAAAAAA&#10;AAAAAAAAW0NvbnRlbnRfVHlwZXNdLnhtbFBLAQItABQABgAIAAAAIQA4/SH/1gAAAJQBAAALAAAA&#10;AAAAAAAAAAAAAC8BAABfcmVscy8ucmVsc1BLAQItABQABgAIAAAAIQA1z52kQAIAAFsEAAAOAAAA&#10;AAAAAAAAAAAAAC4CAABkcnMvZTJvRG9jLnhtbFBLAQItABQABgAIAAAAIQCL8CVr2wAAAAYBAAAP&#10;AAAAAAAAAAAAAAAAAJoEAABkcnMvZG93bnJldi54bWxQSwUGAAAAAAQABADzAAAAogUAAAAA&#10;" fillcolor="#d8d8d8 [2732]" stroked="f">
              <v:fill opacity="32896f"/>
              <v:textbox inset="20mm,8mm">
                <w:txbxContent>
                  <w:p w14:paraId="607DB0AD" w14:textId="77777777" w:rsidR="003B7BEE" w:rsidRDefault="003B7BEE" w:rsidP="00EB47F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8A0C43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FFC423" w:themeColor="accent2"/>
      </w:rPr>
    </w:lvl>
  </w:abstractNum>
  <w:abstractNum w:abstractNumId="2" w15:restartNumberingAfterBreak="0">
    <w:nsid w:val="FFFFFF88"/>
    <w:multiLevelType w:val="singleLevel"/>
    <w:tmpl w:val="A080F5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FFC423" w:themeColor="accent2"/>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FFC423" w:themeColor="accent2"/>
        <w:u w:color="1A7DD7" w:themeColor="accent1"/>
      </w:rPr>
    </w:lvl>
    <w:lvl w:ilvl="1" w:tplc="21DA163A">
      <w:start w:val="1"/>
      <w:numFmt w:val="bullet"/>
      <w:lvlText w:val="o"/>
      <w:lvlJc w:val="left"/>
      <w:pPr>
        <w:ind w:left="1440" w:hanging="360"/>
      </w:pPr>
      <w:rPr>
        <w:rFonts w:ascii="Courier New" w:hAnsi="Courier New" w:hint="default"/>
        <w:color w:val="FFC423"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FFC423"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4098E8" w:themeColor="accent3"/>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347CC"/>
    <w:multiLevelType w:val="hybridMultilevel"/>
    <w:tmpl w:val="1B38A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9A11FB"/>
    <w:multiLevelType w:val="hybridMultilevel"/>
    <w:tmpl w:val="20A007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B872C6"/>
    <w:multiLevelType w:val="hybridMultilevel"/>
    <w:tmpl w:val="B2560376"/>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0A3052" w:themeColor="accent5"/>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331351"/>
    <w:multiLevelType w:val="hybridMultilevel"/>
    <w:tmpl w:val="72966E82"/>
    <w:lvl w:ilvl="0" w:tplc="2AFA4338">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13498C"/>
    <w:multiLevelType w:val="hybridMultilevel"/>
    <w:tmpl w:val="7806E764"/>
    <w:lvl w:ilvl="0" w:tplc="3A845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BEF75DB"/>
    <w:multiLevelType w:val="hybridMultilevel"/>
    <w:tmpl w:val="84C27E8A"/>
    <w:lvl w:ilvl="0" w:tplc="F76A2678">
      <w:start w:val="1"/>
      <w:numFmt w:val="decimal"/>
      <w:lvlText w:val="%1."/>
      <w:lvlJc w:val="left"/>
      <w:pPr>
        <w:ind w:left="720" w:hanging="360"/>
      </w:pPr>
      <w:rPr>
        <w:rFonts w:asciiTheme="minorHAnsi" w:eastAsiaTheme="minorHAnsi" w:hAnsiTheme="minorHAnsi" w:cstheme="minorBidi"/>
      </w:rPr>
    </w:lvl>
    <w:lvl w:ilvl="1" w:tplc="085E5F28">
      <w:start w:val="1"/>
      <w:numFmt w:val="bullet"/>
      <w:lvlText w:val=""/>
      <w:lvlJc w:val="left"/>
      <w:pPr>
        <w:ind w:left="1440" w:hanging="360"/>
      </w:pPr>
      <w:rPr>
        <w:rFonts w:ascii="Symbol" w:hAnsi="Symbol" w:hint="default"/>
        <w:color w:val="1A7DD7" w:themeColor="accen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98D"/>
    <w:multiLevelType w:val="hybridMultilevel"/>
    <w:tmpl w:val="03680CDA"/>
    <w:lvl w:ilvl="0" w:tplc="8376AAF6">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425193"/>
    <w:multiLevelType w:val="hybridMultilevel"/>
    <w:tmpl w:val="2B4662AC"/>
    <w:lvl w:ilvl="0" w:tplc="F27AD300">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6156C"/>
    <w:multiLevelType w:val="hybridMultilevel"/>
    <w:tmpl w:val="C656764A"/>
    <w:lvl w:ilvl="0" w:tplc="9020A65A">
      <w:start w:val="1"/>
      <w:numFmt w:val="decimal"/>
      <w:lvlText w:val="%1."/>
      <w:lvlJc w:val="left"/>
      <w:pPr>
        <w:ind w:left="121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B023C"/>
    <w:multiLevelType w:val="hybridMultilevel"/>
    <w:tmpl w:val="02829B4A"/>
    <w:lvl w:ilvl="0" w:tplc="CB6ECA12">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33313"/>
    <w:multiLevelType w:val="hybridMultilevel"/>
    <w:tmpl w:val="2E5E4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F4F44"/>
    <w:multiLevelType w:val="hybridMultilevel"/>
    <w:tmpl w:val="7F5EAAF0"/>
    <w:lvl w:ilvl="0" w:tplc="302A11E8">
      <w:start w:val="1"/>
      <w:numFmt w:val="decimal"/>
      <w:lvlText w:val="%1."/>
      <w:lvlJc w:val="left"/>
      <w:pPr>
        <w:ind w:left="720" w:hanging="360"/>
      </w:pPr>
      <w:rPr>
        <w:rFonts w:hint="default"/>
        <w:b/>
        <w:i/>
        <w:color w:val="FFC423"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D25F7"/>
    <w:multiLevelType w:val="hybridMultilevel"/>
    <w:tmpl w:val="608AF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61309"/>
    <w:multiLevelType w:val="hybridMultilevel"/>
    <w:tmpl w:val="C656764A"/>
    <w:lvl w:ilvl="0" w:tplc="9020A65A">
      <w:start w:val="1"/>
      <w:numFmt w:val="decimal"/>
      <w:lvlText w:val="%1."/>
      <w:lvlJc w:val="left"/>
      <w:pPr>
        <w:ind w:left="121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0"/>
  </w:num>
  <w:num w:numId="3">
    <w:abstractNumId w:val="19"/>
  </w:num>
  <w:num w:numId="4">
    <w:abstractNumId w:val="29"/>
  </w:num>
  <w:num w:numId="5">
    <w:abstractNumId w:val="14"/>
  </w:num>
  <w:num w:numId="6">
    <w:abstractNumId w:val="8"/>
  </w:num>
  <w:num w:numId="7">
    <w:abstractNumId w:val="38"/>
  </w:num>
  <w:num w:numId="8">
    <w:abstractNumId w:val="13"/>
  </w:num>
  <w:num w:numId="9">
    <w:abstractNumId w:val="42"/>
  </w:num>
  <w:num w:numId="10">
    <w:abstractNumId w:val="35"/>
  </w:num>
  <w:num w:numId="11">
    <w:abstractNumId w:val="4"/>
  </w:num>
  <w:num w:numId="12">
    <w:abstractNumId w:val="11"/>
  </w:num>
  <w:num w:numId="13">
    <w:abstractNumId w:val="17"/>
  </w:num>
  <w:num w:numId="14">
    <w:abstractNumId w:val="28"/>
  </w:num>
  <w:num w:numId="15">
    <w:abstractNumId w:val="22"/>
  </w:num>
  <w:num w:numId="16">
    <w:abstractNumId w:val="7"/>
  </w:num>
  <w:num w:numId="17">
    <w:abstractNumId w:val="30"/>
  </w:num>
  <w:num w:numId="18">
    <w:abstractNumId w:val="43"/>
  </w:num>
  <w:num w:numId="19">
    <w:abstractNumId w:val="10"/>
  </w:num>
  <w:num w:numId="20">
    <w:abstractNumId w:val="33"/>
  </w:num>
  <w:num w:numId="21">
    <w:abstractNumId w:val="12"/>
  </w:num>
  <w:num w:numId="22">
    <w:abstractNumId w:val="23"/>
  </w:num>
  <w:num w:numId="23">
    <w:abstractNumId w:val="25"/>
  </w:num>
  <w:num w:numId="24">
    <w:abstractNumId w:val="21"/>
  </w:num>
  <w:num w:numId="25">
    <w:abstractNumId w:val="24"/>
  </w:num>
  <w:num w:numId="26">
    <w:abstractNumId w:val="9"/>
  </w:num>
  <w:num w:numId="27">
    <w:abstractNumId w:val="36"/>
  </w:num>
  <w:num w:numId="28">
    <w:abstractNumId w:val="15"/>
  </w:num>
  <w:num w:numId="29">
    <w:abstractNumId w:val="6"/>
  </w:num>
  <w:num w:numId="30">
    <w:abstractNumId w:val="20"/>
  </w:num>
  <w:num w:numId="31">
    <w:abstractNumId w:val="5"/>
  </w:num>
  <w:num w:numId="32">
    <w:abstractNumId w:val="32"/>
  </w:num>
  <w:num w:numId="33">
    <w:abstractNumId w:val="34"/>
  </w:num>
  <w:num w:numId="34">
    <w:abstractNumId w:val="3"/>
  </w:num>
  <w:num w:numId="35">
    <w:abstractNumId w:val="1"/>
  </w:num>
  <w:num w:numId="36">
    <w:abstractNumId w:val="2"/>
  </w:num>
  <w:num w:numId="37">
    <w:abstractNumId w:val="0"/>
  </w:num>
  <w:num w:numId="38">
    <w:abstractNumId w:val="37"/>
  </w:num>
  <w:num w:numId="39">
    <w:abstractNumId w:val="18"/>
  </w:num>
  <w:num w:numId="40">
    <w:abstractNumId w:val="41"/>
  </w:num>
  <w:num w:numId="41">
    <w:abstractNumId w:val="39"/>
  </w:num>
  <w:num w:numId="42">
    <w:abstractNumId w:val="27"/>
  </w:num>
  <w:num w:numId="43">
    <w:abstractNumId w:val="16"/>
  </w:num>
  <w:num w:numId="4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DA"/>
    <w:rsid w:val="0000092E"/>
    <w:rsid w:val="00003E1B"/>
    <w:rsid w:val="00012A83"/>
    <w:rsid w:val="0001318A"/>
    <w:rsid w:val="0001459C"/>
    <w:rsid w:val="00017C3C"/>
    <w:rsid w:val="00021F2E"/>
    <w:rsid w:val="00023F87"/>
    <w:rsid w:val="00026EAE"/>
    <w:rsid w:val="0003123C"/>
    <w:rsid w:val="00032A10"/>
    <w:rsid w:val="00040143"/>
    <w:rsid w:val="00043FFE"/>
    <w:rsid w:val="00044074"/>
    <w:rsid w:val="0004430C"/>
    <w:rsid w:val="00066DE2"/>
    <w:rsid w:val="00077931"/>
    <w:rsid w:val="000846B6"/>
    <w:rsid w:val="00084E91"/>
    <w:rsid w:val="000900B6"/>
    <w:rsid w:val="000A02E6"/>
    <w:rsid w:val="000A1EA2"/>
    <w:rsid w:val="000A40D9"/>
    <w:rsid w:val="000A649E"/>
    <w:rsid w:val="000A7626"/>
    <w:rsid w:val="000B1630"/>
    <w:rsid w:val="000B5DA2"/>
    <w:rsid w:val="000C1C28"/>
    <w:rsid w:val="000C5872"/>
    <w:rsid w:val="000E0979"/>
    <w:rsid w:val="000E1544"/>
    <w:rsid w:val="001155CE"/>
    <w:rsid w:val="001175C0"/>
    <w:rsid w:val="001225D9"/>
    <w:rsid w:val="00124370"/>
    <w:rsid w:val="00124440"/>
    <w:rsid w:val="001338DB"/>
    <w:rsid w:val="001545DE"/>
    <w:rsid w:val="00157FAE"/>
    <w:rsid w:val="00160392"/>
    <w:rsid w:val="001645D3"/>
    <w:rsid w:val="001727EF"/>
    <w:rsid w:val="0018595F"/>
    <w:rsid w:val="001A5429"/>
    <w:rsid w:val="001B1DAF"/>
    <w:rsid w:val="001B4203"/>
    <w:rsid w:val="001C2C91"/>
    <w:rsid w:val="001C7F44"/>
    <w:rsid w:val="001D1C22"/>
    <w:rsid w:val="001E000F"/>
    <w:rsid w:val="001E11F1"/>
    <w:rsid w:val="001E1E58"/>
    <w:rsid w:val="001E72D7"/>
    <w:rsid w:val="00206719"/>
    <w:rsid w:val="0021101D"/>
    <w:rsid w:val="00212B1B"/>
    <w:rsid w:val="00234852"/>
    <w:rsid w:val="00240312"/>
    <w:rsid w:val="00247B17"/>
    <w:rsid w:val="002529F2"/>
    <w:rsid w:val="00252E4A"/>
    <w:rsid w:val="00256A8F"/>
    <w:rsid w:val="0026300C"/>
    <w:rsid w:val="002642A8"/>
    <w:rsid w:val="002A137B"/>
    <w:rsid w:val="002A19D2"/>
    <w:rsid w:val="002C70F3"/>
    <w:rsid w:val="002D168A"/>
    <w:rsid w:val="002E6465"/>
    <w:rsid w:val="003064D2"/>
    <w:rsid w:val="0031130D"/>
    <w:rsid w:val="00314A6F"/>
    <w:rsid w:val="0033404B"/>
    <w:rsid w:val="00334394"/>
    <w:rsid w:val="00347AF5"/>
    <w:rsid w:val="00360F98"/>
    <w:rsid w:val="00362478"/>
    <w:rsid w:val="0037044D"/>
    <w:rsid w:val="00373FF2"/>
    <w:rsid w:val="00374421"/>
    <w:rsid w:val="00375A25"/>
    <w:rsid w:val="00382B9D"/>
    <w:rsid w:val="00385D4D"/>
    <w:rsid w:val="0038693A"/>
    <w:rsid w:val="003B5758"/>
    <w:rsid w:val="003B7BEE"/>
    <w:rsid w:val="003C58AA"/>
    <w:rsid w:val="003D04F0"/>
    <w:rsid w:val="003D59A7"/>
    <w:rsid w:val="003E78A7"/>
    <w:rsid w:val="003F0274"/>
    <w:rsid w:val="003F0714"/>
    <w:rsid w:val="003F13B0"/>
    <w:rsid w:val="003F5F4A"/>
    <w:rsid w:val="00400698"/>
    <w:rsid w:val="00403423"/>
    <w:rsid w:val="004211AF"/>
    <w:rsid w:val="00423A18"/>
    <w:rsid w:val="004262DD"/>
    <w:rsid w:val="0042646F"/>
    <w:rsid w:val="00435096"/>
    <w:rsid w:val="00440BF7"/>
    <w:rsid w:val="004411FB"/>
    <w:rsid w:val="00443212"/>
    <w:rsid w:val="004567E6"/>
    <w:rsid w:val="004846D5"/>
    <w:rsid w:val="00493EC0"/>
    <w:rsid w:val="00495909"/>
    <w:rsid w:val="00496C61"/>
    <w:rsid w:val="004B5251"/>
    <w:rsid w:val="004C0584"/>
    <w:rsid w:val="004C7B3E"/>
    <w:rsid w:val="00501D3E"/>
    <w:rsid w:val="00513832"/>
    <w:rsid w:val="00520669"/>
    <w:rsid w:val="00526C37"/>
    <w:rsid w:val="00533047"/>
    <w:rsid w:val="00577B45"/>
    <w:rsid w:val="00582502"/>
    <w:rsid w:val="005919AF"/>
    <w:rsid w:val="00594719"/>
    <w:rsid w:val="005A20E2"/>
    <w:rsid w:val="005B5B61"/>
    <w:rsid w:val="005B677C"/>
    <w:rsid w:val="005B6A1A"/>
    <w:rsid w:val="005D2146"/>
    <w:rsid w:val="005F15A5"/>
    <w:rsid w:val="005F2570"/>
    <w:rsid w:val="005F6388"/>
    <w:rsid w:val="006043C3"/>
    <w:rsid w:val="00614293"/>
    <w:rsid w:val="006245F4"/>
    <w:rsid w:val="006329E1"/>
    <w:rsid w:val="00633E73"/>
    <w:rsid w:val="00645DC2"/>
    <w:rsid w:val="00647F61"/>
    <w:rsid w:val="0065336E"/>
    <w:rsid w:val="00655308"/>
    <w:rsid w:val="00660551"/>
    <w:rsid w:val="00664450"/>
    <w:rsid w:val="006936EB"/>
    <w:rsid w:val="006A0ECD"/>
    <w:rsid w:val="006B2383"/>
    <w:rsid w:val="006C21B4"/>
    <w:rsid w:val="006C49FC"/>
    <w:rsid w:val="006C7B3C"/>
    <w:rsid w:val="006D0144"/>
    <w:rsid w:val="006E3FC8"/>
    <w:rsid w:val="006E523A"/>
    <w:rsid w:val="006F24A1"/>
    <w:rsid w:val="006F35BA"/>
    <w:rsid w:val="00707756"/>
    <w:rsid w:val="007157EF"/>
    <w:rsid w:val="00720639"/>
    <w:rsid w:val="007240CF"/>
    <w:rsid w:val="00730BAF"/>
    <w:rsid w:val="0073670F"/>
    <w:rsid w:val="00740FCE"/>
    <w:rsid w:val="00753E67"/>
    <w:rsid w:val="00767EDA"/>
    <w:rsid w:val="007925B1"/>
    <w:rsid w:val="007B0165"/>
    <w:rsid w:val="007B17C4"/>
    <w:rsid w:val="007B1CD1"/>
    <w:rsid w:val="007B1F5A"/>
    <w:rsid w:val="007B3AB6"/>
    <w:rsid w:val="007B5AFF"/>
    <w:rsid w:val="007C136F"/>
    <w:rsid w:val="007C5AF4"/>
    <w:rsid w:val="007D1D7C"/>
    <w:rsid w:val="007D5767"/>
    <w:rsid w:val="007F793B"/>
    <w:rsid w:val="00810DF6"/>
    <w:rsid w:val="00813EC8"/>
    <w:rsid w:val="00817F8C"/>
    <w:rsid w:val="0083428B"/>
    <w:rsid w:val="00835DBC"/>
    <w:rsid w:val="00876F99"/>
    <w:rsid w:val="00877A44"/>
    <w:rsid w:val="008820B3"/>
    <w:rsid w:val="00886169"/>
    <w:rsid w:val="008965F6"/>
    <w:rsid w:val="008971BA"/>
    <w:rsid w:val="008A2B5E"/>
    <w:rsid w:val="008C2C05"/>
    <w:rsid w:val="008D3386"/>
    <w:rsid w:val="008D3518"/>
    <w:rsid w:val="008D39C1"/>
    <w:rsid w:val="008E56B1"/>
    <w:rsid w:val="008F000B"/>
    <w:rsid w:val="008F0E97"/>
    <w:rsid w:val="008F704C"/>
    <w:rsid w:val="0090206C"/>
    <w:rsid w:val="00902998"/>
    <w:rsid w:val="00912C1B"/>
    <w:rsid w:val="0092125E"/>
    <w:rsid w:val="00924319"/>
    <w:rsid w:val="00943C73"/>
    <w:rsid w:val="009512A4"/>
    <w:rsid w:val="00952A7A"/>
    <w:rsid w:val="00974BF8"/>
    <w:rsid w:val="00976836"/>
    <w:rsid w:val="00997A6C"/>
    <w:rsid w:val="009A3B33"/>
    <w:rsid w:val="009A45A0"/>
    <w:rsid w:val="009B35B5"/>
    <w:rsid w:val="009B3AB2"/>
    <w:rsid w:val="009B4773"/>
    <w:rsid w:val="009C018F"/>
    <w:rsid w:val="009D2556"/>
    <w:rsid w:val="009E55E1"/>
    <w:rsid w:val="00A44EEF"/>
    <w:rsid w:val="00A630FD"/>
    <w:rsid w:val="00A74908"/>
    <w:rsid w:val="00A81A28"/>
    <w:rsid w:val="00A91213"/>
    <w:rsid w:val="00A960DC"/>
    <w:rsid w:val="00A9621B"/>
    <w:rsid w:val="00AA29B1"/>
    <w:rsid w:val="00AA50AF"/>
    <w:rsid w:val="00AA66D7"/>
    <w:rsid w:val="00AC0692"/>
    <w:rsid w:val="00AC3653"/>
    <w:rsid w:val="00AE0241"/>
    <w:rsid w:val="00AE5008"/>
    <w:rsid w:val="00AE7777"/>
    <w:rsid w:val="00B07F55"/>
    <w:rsid w:val="00B26302"/>
    <w:rsid w:val="00B37B3B"/>
    <w:rsid w:val="00B44C47"/>
    <w:rsid w:val="00B57756"/>
    <w:rsid w:val="00B57F4F"/>
    <w:rsid w:val="00B7636D"/>
    <w:rsid w:val="00B80CF1"/>
    <w:rsid w:val="00B8163B"/>
    <w:rsid w:val="00BA2A38"/>
    <w:rsid w:val="00BA31C4"/>
    <w:rsid w:val="00BA3E51"/>
    <w:rsid w:val="00BB02E6"/>
    <w:rsid w:val="00BC65C8"/>
    <w:rsid w:val="00BD0C60"/>
    <w:rsid w:val="00C05A6A"/>
    <w:rsid w:val="00C17BCF"/>
    <w:rsid w:val="00C3246A"/>
    <w:rsid w:val="00C45876"/>
    <w:rsid w:val="00C542AA"/>
    <w:rsid w:val="00C60E7F"/>
    <w:rsid w:val="00C65564"/>
    <w:rsid w:val="00C9721F"/>
    <w:rsid w:val="00CA1CC5"/>
    <w:rsid w:val="00CA61D8"/>
    <w:rsid w:val="00CB53A8"/>
    <w:rsid w:val="00CD1D98"/>
    <w:rsid w:val="00CF0C9F"/>
    <w:rsid w:val="00CF1267"/>
    <w:rsid w:val="00CF65F3"/>
    <w:rsid w:val="00D13200"/>
    <w:rsid w:val="00D26769"/>
    <w:rsid w:val="00D27AF8"/>
    <w:rsid w:val="00D35F51"/>
    <w:rsid w:val="00D372CC"/>
    <w:rsid w:val="00D43595"/>
    <w:rsid w:val="00D55BC1"/>
    <w:rsid w:val="00D6543F"/>
    <w:rsid w:val="00D74E0C"/>
    <w:rsid w:val="00D76D4E"/>
    <w:rsid w:val="00D86231"/>
    <w:rsid w:val="00D86A0A"/>
    <w:rsid w:val="00D90038"/>
    <w:rsid w:val="00D91266"/>
    <w:rsid w:val="00D94688"/>
    <w:rsid w:val="00DA7ABE"/>
    <w:rsid w:val="00DB5A2E"/>
    <w:rsid w:val="00DC0528"/>
    <w:rsid w:val="00DC1104"/>
    <w:rsid w:val="00DC3A45"/>
    <w:rsid w:val="00DC6703"/>
    <w:rsid w:val="00DC7466"/>
    <w:rsid w:val="00DC7E1C"/>
    <w:rsid w:val="00DE2CD9"/>
    <w:rsid w:val="00DE65A2"/>
    <w:rsid w:val="00DF2DCC"/>
    <w:rsid w:val="00DF5340"/>
    <w:rsid w:val="00E01D0E"/>
    <w:rsid w:val="00E15EFB"/>
    <w:rsid w:val="00E16215"/>
    <w:rsid w:val="00E31650"/>
    <w:rsid w:val="00E31E50"/>
    <w:rsid w:val="00E35169"/>
    <w:rsid w:val="00E404DF"/>
    <w:rsid w:val="00E465A1"/>
    <w:rsid w:val="00E53724"/>
    <w:rsid w:val="00E552C8"/>
    <w:rsid w:val="00E63CD0"/>
    <w:rsid w:val="00E65E23"/>
    <w:rsid w:val="00E75006"/>
    <w:rsid w:val="00E757A0"/>
    <w:rsid w:val="00E84350"/>
    <w:rsid w:val="00E857E2"/>
    <w:rsid w:val="00E85863"/>
    <w:rsid w:val="00E91AE4"/>
    <w:rsid w:val="00EA431D"/>
    <w:rsid w:val="00EB3DC4"/>
    <w:rsid w:val="00EB47F9"/>
    <w:rsid w:val="00EC4BCD"/>
    <w:rsid w:val="00EC7009"/>
    <w:rsid w:val="00F273EA"/>
    <w:rsid w:val="00F3028C"/>
    <w:rsid w:val="00F33F5E"/>
    <w:rsid w:val="00F53A40"/>
    <w:rsid w:val="00F564FA"/>
    <w:rsid w:val="00F60840"/>
    <w:rsid w:val="00F67590"/>
    <w:rsid w:val="00F75B86"/>
    <w:rsid w:val="00F77933"/>
    <w:rsid w:val="00F8411A"/>
    <w:rsid w:val="00F93FF3"/>
    <w:rsid w:val="00FA0D95"/>
    <w:rsid w:val="00FA5B29"/>
    <w:rsid w:val="00FC1405"/>
    <w:rsid w:val="00FF0913"/>
    <w:rsid w:val="00FF5606"/>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858585"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93"/>
  </w:style>
  <w:style w:type="paragraph" w:styleId="Heading1">
    <w:name w:val="heading 1"/>
    <w:basedOn w:val="Normal"/>
    <w:next w:val="Normal"/>
    <w:link w:val="Heading1Char"/>
    <w:uiPriority w:val="9"/>
    <w:qFormat/>
    <w:rsid w:val="00767EDA"/>
    <w:pPr>
      <w:keepNext/>
      <w:keepLines/>
      <w:pageBreakBefore/>
      <w:pBdr>
        <w:bottom w:val="single" w:sz="24" w:space="4" w:color="1A7DD7" w:themeColor="accent1"/>
      </w:pBdr>
      <w:spacing w:after="400"/>
      <w:outlineLvl w:val="0"/>
    </w:pPr>
    <w:rPr>
      <w:rFonts w:asciiTheme="majorHAnsi" w:eastAsiaTheme="majorEastAsia" w:hAnsiTheme="majorHAnsi" w:cstheme="majorBidi"/>
      <w:b/>
      <w:caps/>
      <w:color w:val="444444" w:themeColor="text1"/>
      <w:sz w:val="44"/>
      <w:szCs w:val="32"/>
    </w:rPr>
  </w:style>
  <w:style w:type="paragraph" w:styleId="Heading2">
    <w:name w:val="heading 2"/>
    <w:basedOn w:val="Normal"/>
    <w:next w:val="Normal"/>
    <w:link w:val="Heading2Char"/>
    <w:uiPriority w:val="9"/>
    <w:qFormat/>
    <w:rsid w:val="00664450"/>
    <w:pPr>
      <w:spacing w:line="240" w:lineRule="auto"/>
      <w:outlineLvl w:val="1"/>
    </w:pPr>
    <w:rPr>
      <w:rFonts w:asciiTheme="majorHAnsi" w:hAnsiTheme="majorHAnsi"/>
      <w:b/>
      <w:color w:val="07233D"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D3E6B"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135D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47F9"/>
    <w:pPr>
      <w:spacing w:before="0" w:after="0"/>
    </w:pPr>
    <w:rPr>
      <w:rFonts w:asciiTheme="majorHAnsi" w:hAnsiTheme="majorHAnsi"/>
      <w:b/>
      <w:caps/>
      <w:color w:val="FFC423" w:themeColor="accent2"/>
      <w:sz w:val="28"/>
    </w:rPr>
  </w:style>
  <w:style w:type="character" w:customStyle="1" w:styleId="HeaderChar">
    <w:name w:val="Header Char"/>
    <w:basedOn w:val="DefaultParagraphFont"/>
    <w:link w:val="Header"/>
    <w:uiPriority w:val="99"/>
    <w:rsid w:val="00EB47F9"/>
    <w:rPr>
      <w:rFonts w:asciiTheme="majorHAnsi" w:hAnsiTheme="majorHAnsi"/>
      <w:b/>
      <w:caps/>
      <w:color w:val="FFC423" w:themeColor="accent2"/>
      <w:sz w:val="28"/>
    </w:rPr>
  </w:style>
  <w:style w:type="paragraph" w:styleId="Footer">
    <w:name w:val="footer"/>
    <w:basedOn w:val="Normal"/>
    <w:link w:val="FooterChar"/>
    <w:uiPriority w:val="99"/>
    <w:rsid w:val="00F8411A"/>
    <w:pPr>
      <w:pBdr>
        <w:top w:val="single" w:sz="8" w:space="1" w:color="1A7DD7"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858585"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813EC8"/>
    <w:pPr>
      <w:spacing w:after="0"/>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813EC8"/>
    <w:rPr>
      <w:rFonts w:asciiTheme="majorHAnsi" w:eastAsiaTheme="majorEastAsia" w:hAnsiTheme="majorHAnsi" w:cstheme="majorBidi"/>
      <w:b/>
      <w:color w:val="FFFFFF" w:themeColor="background1"/>
      <w:spacing w:val="-10"/>
      <w:kern w:val="28"/>
      <w:sz w:val="96"/>
      <w:szCs w:val="56"/>
    </w:rPr>
  </w:style>
  <w:style w:type="paragraph" w:styleId="Subtitle">
    <w:name w:val="Subtitle"/>
    <w:basedOn w:val="Normal"/>
    <w:next w:val="Normal"/>
    <w:link w:val="SubtitleChar"/>
    <w:uiPriority w:val="11"/>
    <w:qFormat/>
    <w:rsid w:val="00F33F5E"/>
    <w:pPr>
      <w:numPr>
        <w:ilvl w:val="1"/>
      </w:numPr>
      <w:spacing w:after="0"/>
      <w:jc w:val="center"/>
    </w:pPr>
    <w:rPr>
      <w:rFonts w:eastAsiaTheme="minorEastAsia"/>
      <w:b/>
      <w:i/>
      <w:color w:val="1A7DD7" w:themeColor="accent1"/>
      <w:spacing w:val="15"/>
      <w:sz w:val="48"/>
    </w:rPr>
  </w:style>
  <w:style w:type="character" w:customStyle="1" w:styleId="SubtitleChar">
    <w:name w:val="Subtitle Char"/>
    <w:basedOn w:val="DefaultParagraphFont"/>
    <w:link w:val="Subtitle"/>
    <w:uiPriority w:val="11"/>
    <w:rsid w:val="00F33F5E"/>
    <w:rPr>
      <w:rFonts w:eastAsiaTheme="minorEastAsia"/>
      <w:b/>
      <w:i/>
      <w:color w:val="1A7DD7" w:themeColor="accent1"/>
      <w:spacing w:val="15"/>
      <w:sz w:val="48"/>
    </w:rPr>
  </w:style>
  <w:style w:type="character" w:customStyle="1" w:styleId="Heading1Char">
    <w:name w:val="Heading 1 Char"/>
    <w:basedOn w:val="DefaultParagraphFont"/>
    <w:link w:val="Heading1"/>
    <w:uiPriority w:val="9"/>
    <w:rsid w:val="00767EDA"/>
    <w:rPr>
      <w:rFonts w:asciiTheme="majorHAnsi" w:eastAsiaTheme="majorEastAsia" w:hAnsiTheme="majorHAnsi" w:cstheme="majorBidi"/>
      <w:b/>
      <w:caps/>
      <w:color w:val="444444" w:themeColor="text1"/>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FFC423"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858585"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858585"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07233D"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D3E6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135DA0" w:themeColor="accent1" w:themeShade="BF"/>
      <w:sz w:val="24"/>
    </w:rPr>
  </w:style>
  <w:style w:type="paragraph" w:styleId="TOCHeading">
    <w:name w:val="TOC Heading"/>
    <w:basedOn w:val="Normal"/>
    <w:next w:val="Normal"/>
    <w:uiPriority w:val="39"/>
    <w:qFormat/>
    <w:rsid w:val="00D94688"/>
    <w:pPr>
      <w:pBdr>
        <w:bottom w:val="single" w:sz="24" w:space="1" w:color="1A7DD7" w:themeColor="accent1"/>
      </w:pBdr>
    </w:pPr>
    <w:rPr>
      <w:rFonts w:asciiTheme="majorHAnsi" w:hAnsiTheme="majorHAnsi"/>
      <w:b/>
      <w:color w:val="FFC423"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1A7DD7"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rPr>
  </w:style>
  <w:style w:type="paragraph" w:styleId="ListBullet">
    <w:name w:val="List Bullet"/>
    <w:basedOn w:val="Normal"/>
    <w:uiPriority w:val="99"/>
    <w:rsid w:val="0003123C"/>
    <w:pPr>
      <w:numPr>
        <w:numId w:val="16"/>
      </w:numPr>
      <w:spacing w:before="0" w:after="200" w:line="276" w:lineRule="auto"/>
      <w:ind w:left="340" w:hanging="340"/>
    </w:pPr>
  </w:style>
  <w:style w:type="paragraph" w:styleId="ListNumber">
    <w:name w:val="List Number"/>
    <w:basedOn w:val="Normal"/>
    <w:uiPriority w:val="99"/>
    <w:rsid w:val="0003123C"/>
    <w:pPr>
      <w:numPr>
        <w:numId w:val="32"/>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35"/>
      </w:numPr>
      <w:spacing w:before="0"/>
    </w:pPr>
  </w:style>
  <w:style w:type="paragraph" w:customStyle="1" w:styleId="Graphheading1">
    <w:name w:val="Graph heading 1"/>
    <w:basedOn w:val="Normal"/>
    <w:qFormat/>
    <w:rsid w:val="008965F6"/>
    <w:pPr>
      <w:spacing w:after="60" w:line="240" w:lineRule="auto"/>
    </w:pPr>
    <w:rPr>
      <w:b/>
      <w:color w:val="4098E8" w:themeColor="accent3"/>
    </w:rPr>
  </w:style>
  <w:style w:type="paragraph" w:customStyle="1" w:styleId="Graphheading2">
    <w:name w:val="Graph heading 2"/>
    <w:basedOn w:val="Normal"/>
    <w:qFormat/>
    <w:rsid w:val="00664450"/>
    <w:pPr>
      <w:spacing w:after="60" w:line="240" w:lineRule="auto"/>
    </w:pPr>
    <w:rPr>
      <w:b/>
      <w:color w:val="0A3052" w:themeColor="accent5"/>
    </w:rPr>
  </w:style>
  <w:style w:type="paragraph" w:customStyle="1" w:styleId="Graphheading3">
    <w:name w:val="Graph heading 3"/>
    <w:basedOn w:val="Normal"/>
    <w:qFormat/>
    <w:rsid w:val="00664450"/>
    <w:pPr>
      <w:spacing w:after="60" w:line="240" w:lineRule="auto"/>
    </w:pPr>
    <w:rPr>
      <w:b/>
      <w:color w:val="70AD47" w:themeColor="accent6"/>
    </w:rPr>
  </w:style>
  <w:style w:type="paragraph" w:customStyle="1" w:styleId="Graphheading4">
    <w:name w:val="Graph heading 4"/>
    <w:basedOn w:val="Normal"/>
    <w:qFormat/>
    <w:rsid w:val="008965F6"/>
    <w:pPr>
      <w:spacing w:after="60" w:line="240" w:lineRule="auto"/>
    </w:pPr>
    <w:rPr>
      <w:b/>
      <w:color w:val="FFC423" w:themeColor="accent2"/>
    </w:rPr>
  </w:style>
  <w:style w:type="paragraph" w:customStyle="1" w:styleId="Graphbullet">
    <w:name w:val="Graph bullet"/>
    <w:basedOn w:val="Normal"/>
    <w:qFormat/>
    <w:rsid w:val="008965F6"/>
    <w:pPr>
      <w:numPr>
        <w:numId w:val="28"/>
      </w:numPr>
      <w:spacing w:before="0" w:after="0" w:line="216" w:lineRule="auto"/>
      <w:ind w:left="284" w:hanging="284"/>
    </w:pPr>
    <w:rPr>
      <w:sz w:val="20"/>
    </w:rPr>
  </w:style>
  <w:style w:type="paragraph" w:customStyle="1" w:styleId="Graphbullet2">
    <w:name w:val="Graph bullet 2"/>
    <w:basedOn w:val="Normal"/>
    <w:qFormat/>
    <w:rsid w:val="008965F6"/>
    <w:pPr>
      <w:numPr>
        <w:numId w:val="30"/>
      </w:numPr>
      <w:spacing w:before="0" w:after="0" w:line="216" w:lineRule="auto"/>
      <w:ind w:left="284" w:hanging="284"/>
    </w:pPr>
    <w:rPr>
      <w:sz w:val="20"/>
    </w:rPr>
  </w:style>
  <w:style w:type="paragraph" w:customStyle="1" w:styleId="Graphbullet3">
    <w:name w:val="Graph bullet 3"/>
    <w:basedOn w:val="Normal"/>
    <w:qFormat/>
    <w:rsid w:val="008965F6"/>
    <w:pPr>
      <w:numPr>
        <w:numId w:val="29"/>
      </w:numPr>
      <w:spacing w:before="0" w:after="0" w:line="216" w:lineRule="auto"/>
      <w:ind w:left="284" w:hanging="284"/>
    </w:pPr>
    <w:rPr>
      <w:sz w:val="20"/>
    </w:rPr>
  </w:style>
  <w:style w:type="paragraph" w:customStyle="1" w:styleId="Graphbullet4">
    <w:name w:val="Graph bullet 4"/>
    <w:basedOn w:val="Normal"/>
    <w:qFormat/>
    <w:rsid w:val="008965F6"/>
    <w:pPr>
      <w:numPr>
        <w:numId w:val="31"/>
      </w:numPr>
      <w:spacing w:before="0" w:after="0" w:line="240" w:lineRule="auto"/>
      <w:ind w:left="284" w:hanging="284"/>
    </w:pPr>
    <w:rPr>
      <w:sz w:val="20"/>
    </w:rPr>
  </w:style>
  <w:style w:type="paragraph" w:customStyle="1" w:styleId="TableText">
    <w:name w:val="Table Text"/>
    <w:basedOn w:val="Normal"/>
    <w:next w:val="Normal"/>
    <w:qFormat/>
    <w:rsid w:val="00810DF6"/>
    <w:pPr>
      <w:spacing w:before="0" w:after="0" w:line="240" w:lineRule="auto"/>
    </w:pPr>
    <w:rPr>
      <w:sz w:val="18"/>
    </w:rPr>
  </w:style>
  <w:style w:type="paragraph" w:customStyle="1" w:styleId="TableHeading">
    <w:name w:val="Table Heading"/>
    <w:basedOn w:val="Normal"/>
    <w:qFormat/>
    <w:rsid w:val="00DC3A45"/>
    <w:pPr>
      <w:spacing w:before="0" w:after="0" w:line="216" w:lineRule="auto"/>
      <w:ind w:left="85"/>
    </w:pPr>
    <w:rPr>
      <w:b/>
      <w:color w:val="FFFFFF" w:themeColor="background1"/>
      <w:sz w:val="18"/>
      <w:szCs w:val="18"/>
    </w:rPr>
  </w:style>
  <w:style w:type="paragraph" w:customStyle="1" w:styleId="Header2">
    <w:name w:val="Header2"/>
    <w:basedOn w:val="Normal"/>
    <w:next w:val="Normal"/>
    <w:link w:val="Header2Char"/>
    <w:qFormat/>
    <w:rsid w:val="00BA3E51"/>
    <w:pPr>
      <w:spacing w:before="0" w:after="0"/>
    </w:pPr>
    <w:rPr>
      <w:i/>
    </w:rPr>
  </w:style>
  <w:style w:type="paragraph" w:customStyle="1" w:styleId="Tabletotal">
    <w:name w:val="Table total"/>
    <w:basedOn w:val="Normal"/>
    <w:next w:val="Normal"/>
    <w:link w:val="TabletotalChar"/>
    <w:qFormat/>
    <w:rsid w:val="004211AF"/>
    <w:pPr>
      <w:spacing w:before="0" w:after="0" w:line="256" w:lineRule="auto"/>
    </w:pPr>
    <w:rPr>
      <w:rFonts w:ascii="Arial" w:eastAsia="Arial" w:hAnsi="Arial" w:cs="Times New Roman"/>
      <w:b/>
      <w:bCs/>
      <w:caps/>
      <w:color w:val="727272" w:themeColor="text1" w:themeTint="BF"/>
      <w:sz w:val="18"/>
      <w:szCs w:val="22"/>
    </w:rPr>
  </w:style>
  <w:style w:type="character" w:customStyle="1" w:styleId="Header2Char">
    <w:name w:val="Header2 Char"/>
    <w:basedOn w:val="DefaultParagraphFont"/>
    <w:link w:val="Header2"/>
    <w:rsid w:val="00BA3E51"/>
    <w:rPr>
      <w:i/>
    </w:rPr>
  </w:style>
  <w:style w:type="character" w:customStyle="1" w:styleId="TabletotalChar">
    <w:name w:val="Table total Char"/>
    <w:basedOn w:val="DefaultParagraphFont"/>
    <w:link w:val="Tabletotal"/>
    <w:rsid w:val="004211AF"/>
    <w:rPr>
      <w:rFonts w:ascii="Arial" w:eastAsia="Arial" w:hAnsi="Arial" w:cs="Times New Roman"/>
      <w:b/>
      <w:bCs/>
      <w:caps/>
      <w:color w:val="727272" w:themeColor="text1" w:themeTint="BF"/>
      <w:sz w:val="18"/>
      <w:szCs w:val="22"/>
    </w:rPr>
  </w:style>
  <w:style w:type="paragraph" w:customStyle="1" w:styleId="TableTextright">
    <w:name w:val="Table Text right"/>
    <w:basedOn w:val="Normal"/>
    <w:next w:val="Normal"/>
    <w:link w:val="TableTextrightChar"/>
    <w:qFormat/>
    <w:rsid w:val="00810DF6"/>
    <w:pPr>
      <w:spacing w:before="0" w:after="0" w:line="240" w:lineRule="auto"/>
      <w:jc w:val="right"/>
    </w:pPr>
    <w:rPr>
      <w:sz w:val="18"/>
    </w:rPr>
  </w:style>
  <w:style w:type="paragraph" w:customStyle="1" w:styleId="TableTextbold">
    <w:name w:val="Table Text bold"/>
    <w:basedOn w:val="Normal"/>
    <w:next w:val="Normal"/>
    <w:link w:val="TableTextboldChar"/>
    <w:qFormat/>
    <w:rsid w:val="009C018F"/>
    <w:pPr>
      <w:spacing w:before="0" w:after="0" w:line="240" w:lineRule="auto"/>
    </w:pPr>
    <w:rPr>
      <w:b/>
      <w:sz w:val="18"/>
    </w:rPr>
  </w:style>
  <w:style w:type="character" w:customStyle="1" w:styleId="TableTextrightChar">
    <w:name w:val="Table Text right Char"/>
    <w:basedOn w:val="DefaultParagraphFont"/>
    <w:link w:val="TableTextright"/>
    <w:rsid w:val="00810DF6"/>
    <w:rPr>
      <w:sz w:val="18"/>
    </w:rPr>
  </w:style>
  <w:style w:type="character" w:customStyle="1" w:styleId="TableTextboldChar">
    <w:name w:val="Table Text bold Char"/>
    <w:basedOn w:val="DefaultParagraphFont"/>
    <w:link w:val="TableTextbold"/>
    <w:rsid w:val="009C018F"/>
    <w:rPr>
      <w:b/>
      <w:sz w:val="18"/>
    </w:rPr>
  </w:style>
  <w:style w:type="paragraph" w:styleId="CommentText">
    <w:name w:val="annotation text"/>
    <w:basedOn w:val="Normal"/>
    <w:link w:val="CommentTextChar"/>
    <w:uiPriority w:val="99"/>
    <w:semiHidden/>
    <w:unhideWhenUsed/>
    <w:rsid w:val="008F0E97"/>
    <w:pPr>
      <w:spacing w:before="0" w:after="200" w:line="240" w:lineRule="auto"/>
    </w:pPr>
    <w:rPr>
      <w:color w:val="auto"/>
      <w:sz w:val="20"/>
      <w:szCs w:val="20"/>
    </w:rPr>
  </w:style>
  <w:style w:type="character" w:customStyle="1" w:styleId="CommentTextChar">
    <w:name w:val="Comment Text Char"/>
    <w:basedOn w:val="DefaultParagraphFont"/>
    <w:link w:val="CommentText"/>
    <w:uiPriority w:val="99"/>
    <w:semiHidden/>
    <w:rsid w:val="008F0E97"/>
    <w:rPr>
      <w:color w:val="auto"/>
      <w:sz w:val="20"/>
      <w:szCs w:val="20"/>
    </w:rPr>
  </w:style>
  <w:style w:type="character" w:styleId="FollowedHyperlink">
    <w:name w:val="FollowedHyperlink"/>
    <w:basedOn w:val="DefaultParagraphFont"/>
    <w:uiPriority w:val="99"/>
    <w:semiHidden/>
    <w:unhideWhenUsed/>
    <w:rsid w:val="00660551"/>
    <w:rPr>
      <w:color w:val="FFC423" w:themeColor="followedHyperlink"/>
      <w:u w:val="single"/>
    </w:rPr>
  </w:style>
  <w:style w:type="character" w:customStyle="1" w:styleId="UnresolvedMention1">
    <w:name w:val="Unresolved Mention1"/>
    <w:basedOn w:val="DefaultParagraphFont"/>
    <w:uiPriority w:val="99"/>
    <w:semiHidden/>
    <w:unhideWhenUsed/>
    <w:rsid w:val="0012444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53A8"/>
    <w:pPr>
      <w:spacing w:before="120" w:after="120"/>
    </w:pPr>
    <w:rPr>
      <w:b/>
      <w:bCs/>
      <w:color w:val="858585" w:themeColor="text1" w:themeTint="A6"/>
    </w:rPr>
  </w:style>
  <w:style w:type="character" w:customStyle="1" w:styleId="CommentSubjectChar">
    <w:name w:val="Comment Subject Char"/>
    <w:basedOn w:val="CommentTextChar"/>
    <w:link w:val="CommentSubject"/>
    <w:uiPriority w:val="99"/>
    <w:semiHidden/>
    <w:rsid w:val="00CB53A8"/>
    <w:rPr>
      <w:b/>
      <w:bCs/>
      <w:color w:val="auto"/>
      <w:sz w:val="20"/>
      <w:szCs w:val="20"/>
    </w:rPr>
  </w:style>
  <w:style w:type="character" w:styleId="UnresolvedMention">
    <w:name w:val="Unresolved Mention"/>
    <w:basedOn w:val="DefaultParagraphFont"/>
    <w:uiPriority w:val="99"/>
    <w:semiHidden/>
    <w:unhideWhenUsed/>
    <w:rsid w:val="00D76D4E"/>
    <w:rPr>
      <w:color w:val="605E5C"/>
      <w:shd w:val="clear" w:color="auto" w:fill="E1DFDD"/>
    </w:rPr>
  </w:style>
  <w:style w:type="paragraph" w:styleId="NormalWeb">
    <w:name w:val="Normal (Web)"/>
    <w:basedOn w:val="Normal"/>
    <w:uiPriority w:val="99"/>
    <w:semiHidden/>
    <w:unhideWhenUsed/>
    <w:rsid w:val="00D76D4E"/>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8417">
      <w:bodyDiv w:val="1"/>
      <w:marLeft w:val="0"/>
      <w:marRight w:val="0"/>
      <w:marTop w:val="0"/>
      <w:marBottom w:val="0"/>
      <w:divBdr>
        <w:top w:val="none" w:sz="0" w:space="0" w:color="auto"/>
        <w:left w:val="none" w:sz="0" w:space="0" w:color="auto"/>
        <w:bottom w:val="none" w:sz="0" w:space="0" w:color="auto"/>
        <w:right w:val="none" w:sz="0" w:space="0" w:color="auto"/>
      </w:divBdr>
    </w:div>
    <w:div w:id="449127054">
      <w:bodyDiv w:val="1"/>
      <w:marLeft w:val="0"/>
      <w:marRight w:val="0"/>
      <w:marTop w:val="0"/>
      <w:marBottom w:val="0"/>
      <w:divBdr>
        <w:top w:val="none" w:sz="0" w:space="0" w:color="auto"/>
        <w:left w:val="none" w:sz="0" w:space="0" w:color="auto"/>
        <w:bottom w:val="none" w:sz="0" w:space="0" w:color="auto"/>
        <w:right w:val="none" w:sz="0" w:space="0" w:color="auto"/>
      </w:divBdr>
    </w:div>
    <w:div w:id="851263319">
      <w:bodyDiv w:val="1"/>
      <w:marLeft w:val="0"/>
      <w:marRight w:val="0"/>
      <w:marTop w:val="0"/>
      <w:marBottom w:val="0"/>
      <w:divBdr>
        <w:top w:val="none" w:sz="0" w:space="0" w:color="auto"/>
        <w:left w:val="none" w:sz="0" w:space="0" w:color="auto"/>
        <w:bottom w:val="none" w:sz="0" w:space="0" w:color="auto"/>
        <w:right w:val="none" w:sz="0" w:space="0" w:color="auto"/>
      </w:divBdr>
    </w:div>
    <w:div w:id="17494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amanetwork.com/journals/jamainternalmedicine/fullarticle/27595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internalmedicine/fullarticle/259943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s\AppData\Roaming\Microsoft\Templates\Home%20business%20plan.dotx" TargetMode="External"/></Relationships>
</file>

<file path=word/theme/theme1.xml><?xml version="1.0" encoding="utf-8"?>
<a:theme xmlns:a="http://schemas.openxmlformats.org/drawingml/2006/main" name="Office Theme">
  <a:themeElements>
    <a:clrScheme name="RLRL">
      <a:dk1>
        <a:srgbClr val="444444"/>
      </a:dk1>
      <a:lt1>
        <a:sysClr val="window" lastClr="FFFFFF"/>
      </a:lt1>
      <a:dk2>
        <a:srgbClr val="0A3052"/>
      </a:dk2>
      <a:lt2>
        <a:srgbClr val="E7E6E6"/>
      </a:lt2>
      <a:accent1>
        <a:srgbClr val="1A7DD7"/>
      </a:accent1>
      <a:accent2>
        <a:srgbClr val="FFC423"/>
      </a:accent2>
      <a:accent3>
        <a:srgbClr val="4098E8"/>
      </a:accent3>
      <a:accent4>
        <a:srgbClr val="1462A8"/>
      </a:accent4>
      <a:accent5>
        <a:srgbClr val="0A3052"/>
      </a:accent5>
      <a:accent6>
        <a:srgbClr val="70AD47"/>
      </a:accent6>
      <a:hlink>
        <a:srgbClr val="1A7DD7"/>
      </a:hlink>
      <a:folHlink>
        <a:srgbClr val="FFC423"/>
      </a:folHlink>
    </a:clrScheme>
    <a:fontScheme name="Custom 4">
      <a:majorFont>
        <a:latin typeface="Montserrat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1D0E4-03F4-4455-B584-C699F9390B7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5297D27-3F32-4A97-9A68-F78B4667DA8B}">
  <ds:schemaRefs>
    <ds:schemaRef ds:uri="http://schemas.openxmlformats.org/officeDocument/2006/bibliography"/>
  </ds:schemaRefs>
</ds:datastoreItem>
</file>

<file path=customXml/itemProps3.xml><?xml version="1.0" encoding="utf-8"?>
<ds:datastoreItem xmlns:ds="http://schemas.openxmlformats.org/officeDocument/2006/customXml" ds:itemID="{60C2B731-8FA9-4B63-AFAA-3A0B4B7E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0A73A-12AE-40FB-9643-5C7791D7D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Home business plan</Template>
  <TotalTime>0</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TITLE</vt:lpstr>
    </vt:vector>
  </TitlesOfParts>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subject>Lung Cancer Screening Overview</dc:subject>
  <dc:creator/>
  <cp:lastModifiedBy/>
  <cp:revision>1</cp:revision>
  <dcterms:created xsi:type="dcterms:W3CDTF">2021-02-23T22:10:00Z</dcterms:created>
  <dcterms:modified xsi:type="dcterms:W3CDTF">2021-02-23T22:10:00Z</dcterms:modified>
  <cp:contentStatus>Rescuing lives from lung cancer today and tomorrow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